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Кафедра факультетской педиатрии </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Направленность (профиль )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Педиатрия</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Методическое указание для аспирантов по подготовке и проведению Государственного экзамена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Государственный экзамен является формой итоговой аттестации, проводится согласно графику учебного процесса. Итоговый междисциплинарный экзамен имеет своей целью определение практической и теоретической подготовленности выпускника к выполнению профессиональных задач, степени освоения компетенций, установленных федеральным государственным образовательным стандартом высшего образования по направлению подготовки 31.06.01 КЛИНИЧЕСКАЯ МЕДИЦИНА  (ФГОСВО) и основной профессиональной образовательной программой (ОПОП) высшего профессионального образования, реализуемой в Федеральном государственном бюджетном образовательном учреждении высшего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Оренбургский государственный медицинский университет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Министерства здравоохранения Российской Федерации (далее -ФГБОУ ВО ОрГМУ Минздрава России).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рамках проведения государственного экзамена проверятся подготовленность к следующим </w:t>
      </w:r>
      <w:r>
        <w:rPr>
          <w:rFonts w:ascii="Times New Roman" w:hAnsi="Times New Roman" w:cs="Times New Roman" w:eastAsia="Times New Roman"/>
          <w:b/>
          <w:color w:val="auto"/>
          <w:spacing w:val="0"/>
          <w:position w:val="0"/>
          <w:sz w:val="24"/>
          <w:shd w:fill="auto" w:val="clear"/>
        </w:rPr>
        <w:t xml:space="preserve">видам деятельности</w:t>
      </w:r>
      <w:r>
        <w:rPr>
          <w:rFonts w:ascii="Times New Roman" w:hAnsi="Times New Roman" w:cs="Times New Roman" w:eastAsia="Times New Roman"/>
          <w:color w:val="auto"/>
          <w:spacing w:val="0"/>
          <w:position w:val="0"/>
          <w:sz w:val="24"/>
          <w:shd w:fill="auto" w:val="clear"/>
        </w:rPr>
        <w:t xml:space="preserve">:</w:t>
      </w:r>
    </w:p>
    <w:p>
      <w:pPr>
        <w:numPr>
          <w:ilvl w:val="0"/>
          <w:numId w:val="4"/>
        </w:numPr>
        <w:tabs>
          <w:tab w:val="left" w:pos="709" w:leader="none"/>
        </w:tabs>
        <w:spacing w:before="0" w:after="0" w:line="240"/>
        <w:ind w:right="0" w:left="709" w:hanging="14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научно-исследовательской деятельности в области охраны здоровья граждан, направленной на сохранение здоровья, улучшение качества и продолжительности жизни человека путем проведения прикладных исследований в биологии и медицине;</w:t>
      </w:r>
    </w:p>
    <w:p>
      <w:pPr>
        <w:numPr>
          <w:ilvl w:val="0"/>
          <w:numId w:val="4"/>
        </w:numPr>
        <w:tabs>
          <w:tab w:val="left" w:pos="709" w:leader="none"/>
          <w:tab w:val="left" w:pos="1701" w:leader="none"/>
        </w:tabs>
        <w:spacing w:before="0" w:after="0" w:line="240"/>
        <w:ind w:right="0" w:left="709" w:hanging="14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преподавательской деятельности по образовательным программам высшего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Государственный экзамен является первым этапом  ГИА.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К государственной итоговой аттестации допускаются </w:t>
      </w:r>
      <w:r>
        <w:rPr>
          <w:rFonts w:ascii="Times New Roman" w:hAnsi="Times New Roman" w:cs="Times New Roman" w:eastAsia="Times New Roman"/>
          <w:color w:val="auto"/>
          <w:spacing w:val="0"/>
          <w:position w:val="0"/>
          <w:sz w:val="24"/>
          <w:shd w:fill="auto" w:val="clear"/>
        </w:rPr>
        <w:t xml:space="preserve"> лица, завершившие полный курс обучения в аспирантуре по основной образовательной программе и успешно прошедшие промежуточные аттестации, предусмотренные индивидуальным учебным планом.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 экзаменом проводится консультация аспирантов по вопросам, включенным в программу государственного экзамена.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государственного экзамена определяется программой государственной итоговой аттестации.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программу государственного экзамена включены вопросы, определяющие содержание </w:t>
      </w:r>
      <w:r>
        <w:rPr>
          <w:rFonts w:ascii="Times New Roman" w:hAnsi="Times New Roman" w:cs="Times New Roman" w:eastAsia="Times New Roman"/>
          <w:color w:val="000000"/>
          <w:spacing w:val="0"/>
          <w:position w:val="0"/>
          <w:sz w:val="24"/>
          <w:shd w:fill="FFFFFF" w:val="clear"/>
        </w:rPr>
        <w:t xml:space="preserve">дисциплины  кандидатского экзамена, соответствующей профилю подготовки,  дисциплины, направленной на сдачу кандидатского экзамена, дисциплины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Педагогика и психология высшей школы.  </w:t>
      </w:r>
      <w:r>
        <w:rPr>
          <w:rFonts w:ascii="Times New Roman" w:hAnsi="Times New Roman" w:cs="Times New Roman" w:eastAsia="Times New Roman"/>
          <w:color w:val="auto"/>
          <w:spacing w:val="0"/>
          <w:position w:val="0"/>
          <w:sz w:val="24"/>
          <w:shd w:fill="auto" w:val="clear"/>
        </w:rPr>
        <w:t xml:space="preserve">Государственный экзамен проводится в один этап.</w:t>
      </w:r>
    </w:p>
    <w:p>
      <w:pPr>
        <w:suppressAutoHyphens w:val="true"/>
        <w:spacing w:before="0" w:after="200" w:line="276"/>
        <w:ind w:right="0" w:left="0" w:firstLine="55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ГЭ представляет собой традиционный устный междисциплинарный экзамен, проводимый по утвержденным билетам (списку вопросов). </w:t>
      </w:r>
      <w:r>
        <w:rPr>
          <w:rFonts w:ascii="Times New Roman" w:hAnsi="Times New Roman" w:cs="Times New Roman" w:eastAsia="Times New Roman"/>
          <w:color w:val="000000"/>
          <w:spacing w:val="0"/>
          <w:position w:val="0"/>
          <w:sz w:val="28"/>
          <w:shd w:fill="auto" w:val="clear"/>
        </w:rPr>
        <w:t xml:space="preserve">Билеты утверждаются проректором по научной работе и обновляются не реже одного раза в два года.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Экзаменационные билеты содержат  3 вопроса (2 - по  профильной дисциплине , 1- по дисциплине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Педагогика и психология высшей школы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Продолжительность подготовки обучающегося к ответу на государственном экзамен, проводимом в устной форме – не более 30 минут. На ответ аспиранта по билету и вопросы членов комиссии отводится не более 30минут.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 на вопрос билета должен предусматривать изложение определений </w:t>
      </w:r>
      <w:r>
        <w:rPr>
          <w:rFonts w:ascii="Times New Roman" w:hAnsi="Times New Roman" w:cs="Times New Roman" w:eastAsia="Times New Roman"/>
          <w:color w:val="auto"/>
          <w:spacing w:val="2"/>
          <w:position w:val="0"/>
          <w:sz w:val="24"/>
          <w:shd w:fill="auto" w:val="clear"/>
        </w:rPr>
        <w:t xml:space="preserve">ос</w:t>
      </w:r>
      <w:r>
        <w:rPr>
          <w:rFonts w:ascii="Times New Roman" w:hAnsi="Times New Roman" w:cs="Times New Roman" w:eastAsia="Times New Roman"/>
          <w:color w:val="auto"/>
          <w:spacing w:val="0"/>
          <w:position w:val="0"/>
          <w:sz w:val="24"/>
          <w:shd w:fill="auto" w:val="clear"/>
        </w:rPr>
        <w:t xml:space="preserve">новных понятий. Порядок и последовательность изложения материала при устном ответе на экзамене определяется самим аспирантом.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 Теоретические положения должны подтверждаться примерами из практической деятельности.</w:t>
      </w:r>
    </w:p>
    <w:p>
      <w:pPr>
        <w:numPr>
          <w:ilvl w:val="0"/>
          <w:numId w:val="12"/>
        </w:numPr>
        <w:spacing w:before="0" w:after="0" w:line="240"/>
        <w:ind w:right="0" w:left="494"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экзамена определяются оценками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отлично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хорошо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удовлетворительно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неудовлетворительно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отлично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хорошо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удовлетворительно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означают успешное прохождение государственного аттестационного испытания.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 оценивается на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отлично</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аспирант:</w:t>
      </w:r>
    </w:p>
    <w:p>
      <w:pPr>
        <w:numPr>
          <w:ilvl w:val="0"/>
          <w:numId w:val="14"/>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глубоко и полно владеет содержанием учебного материала и понятийным аппаратом, дает полные, исчерпывающие и аргументированные ответы на все основные и дополнительные экзаменационные вопросы;</w:t>
      </w:r>
    </w:p>
    <w:p>
      <w:pPr>
        <w:numPr>
          <w:ilvl w:val="0"/>
          <w:numId w:val="14"/>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ответы на вопросы излагает  логично,  последовательно, ясно и четко выражает свои мысли, убедительно  обосновывает  свои суждения, профессионально-личностную  позицию по излагаемому вопросу и выводы;</w:t>
      </w:r>
    </w:p>
    <w:p>
      <w:pPr>
        <w:numPr>
          <w:ilvl w:val="0"/>
          <w:numId w:val="14"/>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умеет связывать теорию с практикой, иллюстрировать примерами, фактами, данными научных исследований;</w:t>
      </w:r>
    </w:p>
    <w:p>
      <w:pPr>
        <w:numPr>
          <w:ilvl w:val="0"/>
          <w:numId w:val="14"/>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демонстрирует знание источников и умение ими пользоваться при ответе;</w:t>
      </w:r>
    </w:p>
    <w:p>
      <w:pPr>
        <w:numPr>
          <w:ilvl w:val="0"/>
          <w:numId w:val="14"/>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 носит самостоятельный характер.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 оценивается на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хорошо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аспирант:</w:t>
      </w:r>
    </w:p>
    <w:p>
      <w:pPr>
        <w:numPr>
          <w:ilvl w:val="0"/>
          <w:numId w:val="16"/>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дает полные, аргументированные ответы на все основные и дополнительные экзаменационные вопросы, но имеют место отдельные неточности (несущественные ошибки) при изложении теоретического и практического материала;</w:t>
      </w:r>
    </w:p>
    <w:p>
      <w:pPr>
        <w:numPr>
          <w:ilvl w:val="0"/>
          <w:numId w:val="16"/>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ответы на вопросы логичны, четкие, отличаются знанием понятийного</w:t>
      </w:r>
    </w:p>
    <w:p>
      <w:pPr>
        <w:numPr>
          <w:ilvl w:val="0"/>
          <w:numId w:val="16"/>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аппарата и литературы по теме вопроса при незначительных упущениях при</w:t>
      </w:r>
    </w:p>
    <w:p>
      <w:pPr>
        <w:numPr>
          <w:ilvl w:val="0"/>
          <w:numId w:val="16"/>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ответах;</w:t>
      </w:r>
    </w:p>
    <w:p>
      <w:pPr>
        <w:numPr>
          <w:ilvl w:val="0"/>
          <w:numId w:val="16"/>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допущенные при ответе  неточности и несущественные ошибки исправляются самим аспирантом после дополнительных вопросов экзаменатора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 оценивается на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удовлетворительно</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аспирант:</w:t>
      </w:r>
    </w:p>
    <w:p>
      <w:pPr>
        <w:numPr>
          <w:ilvl w:val="0"/>
          <w:numId w:val="18"/>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обнаруживает знание и понимание  основных положений учебного материала, но </w:t>
      </w:r>
    </w:p>
    <w:p>
      <w:pPr>
        <w:numPr>
          <w:ilvl w:val="0"/>
          <w:numId w:val="18"/>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ответы на вопросы характеризутся  меньшей </w:t>
      </w:r>
      <w:r>
        <w:rPr>
          <w:rFonts w:ascii="Times New Roman" w:hAnsi="Times New Roman" w:cs="Times New Roman" w:eastAsia="Times New Roman"/>
          <w:color w:val="auto"/>
          <w:spacing w:val="2"/>
          <w:position w:val="0"/>
          <w:sz w:val="24"/>
          <w:shd w:fill="auto" w:val="clear"/>
        </w:rPr>
        <w:t xml:space="preserve">об</w:t>
      </w:r>
      <w:r>
        <w:rPr>
          <w:rFonts w:ascii="Times New Roman" w:hAnsi="Times New Roman" w:cs="Times New Roman" w:eastAsia="Times New Roman"/>
          <w:color w:val="auto"/>
          <w:spacing w:val="0"/>
          <w:position w:val="0"/>
          <w:sz w:val="24"/>
          <w:shd w:fill="auto" w:val="clear"/>
        </w:rPr>
        <w:t xml:space="preserve">стоятельностью, глубиной, обоснованностью и полнотой, непоследовательные, допускает неточности и существенные ошибки в определении понятий, формулировке положений;</w:t>
      </w:r>
    </w:p>
    <w:p>
      <w:pPr>
        <w:numPr>
          <w:ilvl w:val="0"/>
          <w:numId w:val="18"/>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слабо аргументирует ответы,  не опирается на основные положения исследовательских, концептуальных и нормативных документов, не обосновывает свои суждения не применяет теоретические знания для объяснения эмпирических фактов и явлений; </w:t>
      </w:r>
    </w:p>
    <w:p>
      <w:pPr>
        <w:numPr>
          <w:ilvl w:val="0"/>
          <w:numId w:val="18"/>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имеет место нарушение логики изложения;</w:t>
      </w:r>
    </w:p>
    <w:p>
      <w:pPr>
        <w:numPr>
          <w:ilvl w:val="0"/>
          <w:numId w:val="18"/>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ответы    отличается низким уровнем самостоятельности, не содержит собственной профессионально - личностной позиции;</w:t>
      </w:r>
    </w:p>
    <w:p>
      <w:pPr>
        <w:numPr>
          <w:ilvl w:val="0"/>
          <w:numId w:val="18"/>
        </w:numPr>
        <w:tabs>
          <w:tab w:val="left" w:pos="426" w:leader="none"/>
        </w:tabs>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целом, демонстрирует общее представление и элементарное понимание существа поставленных вопросов, понятийного аппарата и обязательной литературы.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 оценивается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неудовлетворительно</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аспирант:</w:t>
      </w:r>
    </w:p>
    <w:p>
      <w:pPr>
        <w:numPr>
          <w:ilvl w:val="0"/>
          <w:numId w:val="20"/>
        </w:numPr>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имеет  разрозненные знание и понимание  основных положений учебного материала</w:t>
      </w:r>
    </w:p>
    <w:p>
      <w:pPr>
        <w:numPr>
          <w:ilvl w:val="0"/>
          <w:numId w:val="20"/>
        </w:numPr>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допускает  в ответе ошибки в определении понятий, формулировке теоретических положений, искажающие их смысл; </w:t>
      </w:r>
    </w:p>
    <w:p>
      <w:pPr>
        <w:numPr>
          <w:ilvl w:val="0"/>
          <w:numId w:val="20"/>
        </w:numPr>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ориентируется в нормативно-концептуальных, программно-методических, исследовательских материалах;</w:t>
      </w:r>
    </w:p>
    <w:p>
      <w:pPr>
        <w:numPr>
          <w:ilvl w:val="0"/>
          <w:numId w:val="20"/>
        </w:numPr>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умеет выделять главное и второстепенное;</w:t>
      </w:r>
    </w:p>
    <w:p>
      <w:pPr>
        <w:numPr>
          <w:ilvl w:val="0"/>
          <w:numId w:val="20"/>
        </w:numPr>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материал излагает беспорядочно,  неуверенно, бессистемно; </w:t>
      </w:r>
    </w:p>
    <w:p>
      <w:pPr>
        <w:numPr>
          <w:ilvl w:val="0"/>
          <w:numId w:val="20"/>
        </w:numPr>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умеет соединять теоретические положения с педагогической практикой;</w:t>
      </w:r>
    </w:p>
    <w:p>
      <w:pPr>
        <w:numPr>
          <w:ilvl w:val="0"/>
          <w:numId w:val="20"/>
        </w:numPr>
        <w:spacing w:before="0" w:after="0" w:line="240"/>
        <w:ind w:right="0" w:left="426"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целом, демонстрирует незнание и непонимание существа экзаменационных вопросов. </w:t>
      </w:r>
    </w:p>
    <w:p>
      <w:pPr>
        <w:tabs>
          <w:tab w:val="left" w:pos="1134"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Результаты государственного экзамена, проводимого в устной форме   объявляются обучающемуся в день его проведения.</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Аспиранты, получившие по результатам государственного экзамена оценку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неудовлетворительно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допускаются к государственному аттестационному испытанию – защите выпускной квалификационной работы.</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Экзаменуемый имеет право опротестовать в установленном порядке решение экзаменационной комиссии</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12">
    <w:abstractNumId w:val="24"/>
  </w:num>
  <w:num w:numId="14">
    <w:abstractNumId w:val="18"/>
  </w:num>
  <w:num w:numId="16">
    <w:abstractNumId w:val="12"/>
  </w:num>
  <w:num w:numId="18">
    <w:abstractNumId w:val="6"/>
  </w:num>
  <w:num w:numId="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