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DB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DB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DB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DB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03DB2" w:rsidRPr="00303DB2" w:rsidRDefault="00303DB2" w:rsidP="00303DB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B2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303DB2" w:rsidRPr="00303DB2" w:rsidRDefault="00303DB2" w:rsidP="00303DB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B2">
        <w:rPr>
          <w:rFonts w:ascii="Times New Roman" w:hAnsi="Times New Roman" w:cs="Times New Roman"/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DB2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3DB2" w:rsidRPr="00670405" w:rsidRDefault="00303DB2" w:rsidP="00303DB2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Направление подготовки 06.06.01 Биологические науки</w:t>
      </w:r>
    </w:p>
    <w:p w:rsidR="00303DB2" w:rsidRPr="00670405" w:rsidRDefault="00303DB2" w:rsidP="00303DB2">
      <w:pPr>
        <w:jc w:val="both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 xml:space="preserve"> Направленность (профиль)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70405">
        <w:rPr>
          <w:rFonts w:ascii="Times New Roman" w:hAnsi="Times New Roman" w:cs="Times New Roman"/>
          <w:sz w:val="28"/>
          <w:szCs w:val="28"/>
        </w:rPr>
        <w:t>Фармацевтическ</w:t>
      </w:r>
      <w:r>
        <w:rPr>
          <w:rFonts w:ascii="Times New Roman" w:hAnsi="Times New Roman" w:cs="Times New Roman"/>
          <w:sz w:val="28"/>
          <w:szCs w:val="28"/>
        </w:rPr>
        <w:t>ая химия, фармакогнозия»</w:t>
      </w:r>
    </w:p>
    <w:p w:rsidR="00303DB2" w:rsidRPr="00670405" w:rsidRDefault="00303DB2" w:rsidP="00303D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Квалификация (степень) выпускника «Исследователь. Преподаватель-исследователь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DB2" w:rsidRPr="00670405" w:rsidRDefault="00303DB2" w:rsidP="00303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70405">
        <w:rPr>
          <w:rFonts w:ascii="Times New Roman" w:hAnsi="Times New Roman" w:cs="Times New Roman"/>
          <w:sz w:val="28"/>
          <w:szCs w:val="28"/>
        </w:rPr>
        <w:t>06.06.01 Биологические науки</w:t>
      </w:r>
      <w:r w:rsidRPr="0067040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670405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670405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303DB2" w:rsidRPr="00670405" w:rsidRDefault="00303DB2" w:rsidP="00303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 xml:space="preserve">Протокол №   от    2019  </w:t>
      </w:r>
    </w:p>
    <w:p w:rsidR="00303DB2" w:rsidRPr="00670405" w:rsidRDefault="00303DB2" w:rsidP="00303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Оренбург</w:t>
      </w:r>
    </w:p>
    <w:p w:rsidR="00303DB2" w:rsidRPr="00303DB2" w:rsidRDefault="00303DB2" w:rsidP="00303DB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3DB2" w:rsidRPr="00303DB2" w:rsidRDefault="00303DB2" w:rsidP="00303DB2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 w:rsidRPr="00303DB2">
        <w:rPr>
          <w:b w:val="0"/>
          <w:sz w:val="28"/>
          <w:szCs w:val="28"/>
        </w:rPr>
        <w:lastRenderedPageBreak/>
        <w:t>1</w:t>
      </w:r>
      <w:r w:rsidRPr="00303DB2">
        <w:rPr>
          <w:sz w:val="28"/>
          <w:szCs w:val="28"/>
        </w:rPr>
        <w:t>. Основные положения</w:t>
      </w:r>
    </w:p>
    <w:p w:rsidR="00C434DD" w:rsidRPr="00670405" w:rsidRDefault="00C434DD" w:rsidP="00C43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Направление подготовки 06.06.01 Биологические науки</w:t>
      </w:r>
    </w:p>
    <w:p w:rsidR="00C434DD" w:rsidRPr="00303DB2" w:rsidRDefault="00C434DD" w:rsidP="00C434DD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670405">
        <w:rPr>
          <w:b w:val="0"/>
          <w:sz w:val="28"/>
          <w:szCs w:val="28"/>
        </w:rPr>
        <w:t>Профиль подготовки</w:t>
      </w:r>
      <w:r w:rsidRPr="00670405">
        <w:rPr>
          <w:rStyle w:val="12"/>
          <w:b w:val="0"/>
          <w:bCs w:val="0"/>
          <w:sz w:val="28"/>
          <w:szCs w:val="28"/>
        </w:rPr>
        <w:t>:</w:t>
      </w:r>
      <w:r>
        <w:rPr>
          <w:rStyle w:val="12"/>
          <w:b w:val="0"/>
          <w:bCs w:val="0"/>
          <w:sz w:val="28"/>
          <w:szCs w:val="28"/>
        </w:rPr>
        <w:t xml:space="preserve"> </w:t>
      </w:r>
      <w:r w:rsidRPr="00670405">
        <w:rPr>
          <w:b w:val="0"/>
          <w:sz w:val="28"/>
          <w:szCs w:val="28"/>
        </w:rPr>
        <w:t>Фармацевтическая химия, фармакогнозия</w:t>
      </w:r>
    </w:p>
    <w:p w:rsidR="00303DB2" w:rsidRPr="00303DB2" w:rsidRDefault="00303DB2" w:rsidP="00C434DD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rPr>
          <w:b w:val="0"/>
          <w:sz w:val="28"/>
          <w:szCs w:val="28"/>
        </w:rPr>
      </w:pPr>
      <w:r w:rsidRPr="00303DB2">
        <w:rPr>
          <w:b w:val="0"/>
          <w:sz w:val="28"/>
          <w:szCs w:val="28"/>
        </w:rPr>
        <w:t>Квалификация (степень</w:t>
      </w:r>
      <w:bookmarkEnd w:id="0"/>
      <w:r w:rsidRPr="00303DB2">
        <w:rPr>
          <w:b w:val="0"/>
          <w:sz w:val="28"/>
          <w:szCs w:val="28"/>
        </w:rPr>
        <w:t xml:space="preserve">) - Исследователь. </w:t>
      </w:r>
      <w:r w:rsidR="00C434DD">
        <w:rPr>
          <w:b w:val="0"/>
          <w:sz w:val="28"/>
          <w:szCs w:val="28"/>
        </w:rPr>
        <w:t>П</w:t>
      </w:r>
      <w:r w:rsidRPr="00303DB2">
        <w:rPr>
          <w:b w:val="0"/>
          <w:sz w:val="28"/>
          <w:szCs w:val="28"/>
        </w:rPr>
        <w:t>реподаватель-исследователь</w:t>
      </w:r>
    </w:p>
    <w:p w:rsidR="00303DB2" w:rsidRPr="00303DB2" w:rsidRDefault="00303DB2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03DB2">
        <w:rPr>
          <w:rStyle w:val="a5"/>
          <w:sz w:val="28"/>
          <w:szCs w:val="28"/>
        </w:rPr>
        <w:t>Форма обучения</w:t>
      </w:r>
      <w:r w:rsidRPr="00303DB2">
        <w:rPr>
          <w:b w:val="0"/>
          <w:sz w:val="28"/>
          <w:szCs w:val="28"/>
        </w:rPr>
        <w:t xml:space="preserve"> очная, заочная 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303DB2" w:rsidRPr="00303DB2" w:rsidRDefault="00303DB2" w:rsidP="00303DB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03DB2">
        <w:rPr>
          <w:sz w:val="28"/>
          <w:szCs w:val="28"/>
        </w:rPr>
        <w:t>ОрГМУ</w:t>
      </w:r>
      <w:proofErr w:type="spellEnd"/>
      <w:r w:rsidRPr="00303DB2">
        <w:rPr>
          <w:sz w:val="28"/>
          <w:szCs w:val="28"/>
        </w:rPr>
        <w:t xml:space="preserve"> № 911 от 30.05.2016 года);</w:t>
      </w:r>
    </w:p>
    <w:p w:rsidR="00303DB2" w:rsidRPr="00303DB2" w:rsidRDefault="00303DB2" w:rsidP="00303DB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303DB2" w:rsidRPr="00303DB2" w:rsidRDefault="00303DB2" w:rsidP="00303DB2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03DB2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а)</w:t>
      </w:r>
      <w:r w:rsidRPr="00303DB2">
        <w:rPr>
          <w:sz w:val="28"/>
          <w:szCs w:val="28"/>
        </w:rPr>
        <w:tab/>
        <w:t>государственного экзамена;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б) представление</w:t>
      </w:r>
      <w:r w:rsidRPr="00303DB2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03DB2">
        <w:rPr>
          <w:sz w:val="28"/>
          <w:szCs w:val="28"/>
        </w:rPr>
        <w:t>сформированности</w:t>
      </w:r>
      <w:proofErr w:type="spellEnd"/>
      <w:r w:rsidRPr="00303DB2">
        <w:rPr>
          <w:sz w:val="28"/>
          <w:szCs w:val="28"/>
        </w:rPr>
        <w:t xml:space="preserve"> универсальных, </w:t>
      </w:r>
      <w:proofErr w:type="spellStart"/>
      <w:r w:rsidRPr="00303DB2">
        <w:rPr>
          <w:sz w:val="28"/>
          <w:szCs w:val="28"/>
        </w:rPr>
        <w:t>общепрофессиональных</w:t>
      </w:r>
      <w:proofErr w:type="spellEnd"/>
      <w:r w:rsidRPr="00303DB2">
        <w:rPr>
          <w:sz w:val="28"/>
          <w:szCs w:val="28"/>
        </w:rPr>
        <w:t xml:space="preserve">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303DB2" w:rsidRPr="00303DB2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03DB2">
        <w:rPr>
          <w:sz w:val="28"/>
          <w:szCs w:val="28"/>
        </w:rPr>
        <w:lastRenderedPageBreak/>
        <w:t>В таблице 1 представлены компетенции, формирование которых проверяется в ходе государственной итоговой аттестации аспиранта (согласно ФГОС ВО) (таблица 1):</w:t>
      </w:r>
    </w:p>
    <w:p w:rsidR="00303DB2" w:rsidRPr="00303DB2" w:rsidRDefault="00303DB2" w:rsidP="00303DB2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</w:rPr>
      </w:pPr>
      <w:r w:rsidRPr="00303DB2">
        <w:rPr>
          <w:rFonts w:ascii="Times New Roman" w:hAnsi="Times New Roman" w:cs="Times New Roman"/>
          <w:b/>
        </w:rPr>
        <w:t>Таблица 1</w:t>
      </w:r>
    </w:p>
    <w:p w:rsidR="00303DB2" w:rsidRPr="00303DB2" w:rsidRDefault="00303DB2" w:rsidP="00303DB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B2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303DB2" w:rsidRPr="00303DB2" w:rsidRDefault="00303DB2" w:rsidP="00303DB2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03DB2"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 аспиранта</w:t>
      </w:r>
    </w:p>
    <w:p w:rsidR="00303DB2" w:rsidRPr="00303DB2" w:rsidRDefault="00303DB2" w:rsidP="00303DB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6"/>
        <w:gridCol w:w="2454"/>
      </w:tblGrid>
      <w:tr w:rsidR="00303DB2" w:rsidRPr="00670405" w:rsidTr="007F2B6A">
        <w:trPr>
          <w:trHeight w:val="773"/>
          <w:jc w:val="center"/>
        </w:trPr>
        <w:tc>
          <w:tcPr>
            <w:tcW w:w="7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6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аттестационного испытания, в ходе которого проверяется </w:t>
            </w:r>
            <w:proofErr w:type="spellStart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303DB2" w:rsidRPr="00670405" w:rsidTr="007F2B6A">
        <w:trPr>
          <w:trHeight w:val="518"/>
          <w:jc w:val="center"/>
        </w:trPr>
        <w:tc>
          <w:tcPr>
            <w:tcW w:w="7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Представление НКР</w:t>
            </w:r>
          </w:p>
        </w:tc>
      </w:tr>
      <w:tr w:rsidR="00303DB2" w:rsidRPr="00670405" w:rsidTr="007F2B6A">
        <w:trPr>
          <w:trHeight w:val="562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2" w:rsidRPr="00670405" w:rsidRDefault="00303DB2" w:rsidP="007F2B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способностью  к  критическому  анализу  и  оценке  современных  научных достижений,  генерированию  новых  идей  при  решении  исследовательских  и практических задач, в том числе в междисциплинарных областях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562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2" w:rsidRPr="00670405" w:rsidRDefault="00303DB2" w:rsidP="007F2B6A">
            <w:pPr>
              <w:tabs>
                <w:tab w:val="left" w:pos="7260"/>
              </w:tabs>
              <w:spacing w:line="240" w:lineRule="auto"/>
              <w:ind w:right="2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-2 </w:t>
            </w: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способностью проектировать и осуществлять комплексные исследования, в том  числе междисциплинарные, на основе  целостного  системного  научного мировоззрения с использованием знаний в области истории и философии науки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562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2" w:rsidRPr="00670405" w:rsidRDefault="00303DB2" w:rsidP="007F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УК-3  готовностью   участвовать   в   работе   </w:t>
            </w:r>
            <w:proofErr w:type="gramStart"/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российских</w:t>
            </w:r>
            <w:proofErr w:type="gramEnd"/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</w:t>
            </w:r>
          </w:p>
          <w:p w:rsidR="00303DB2" w:rsidRPr="00670405" w:rsidRDefault="00303DB2" w:rsidP="007F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и   международных исследовательских  коллективов  по  решению  научных  и научно-образовательных задач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562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2" w:rsidRPr="00670405" w:rsidRDefault="00303DB2" w:rsidP="007F2B6A">
            <w:pPr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УК-4 готовностью  использовать  современные  методы  и  технологии  научной коммуникации на государственном и иностранном языках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562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2" w:rsidRPr="00670405" w:rsidRDefault="00303DB2" w:rsidP="007F2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УК-5 способностью    планировать    и    решать    задачи    собственного профессионального и личностного развития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B2" w:rsidRPr="00670405" w:rsidTr="007F2B6A">
        <w:trPr>
          <w:trHeight w:val="719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ОПК -1 </w:t>
            </w:r>
            <w:r w:rsidRPr="0067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способен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719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ОПК-2 готовностью   к   преподавательской   деятельности   по   основным образовательным программам высшего образования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719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– 1</w:t>
            </w:r>
            <w:r w:rsidRPr="006704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способностью и готовностью к изучению химического состава лекарственного растительного сырья, установление строения, идентификация природных соединений, разработка методов выделения, стандартизации и контроля качества лекарственного растительного сырья и лекарственных форм на его основе.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719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4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 – 2 способностью и готовностью к разработке, испытанию, стандартизации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стандартов;</w:t>
            </w:r>
          </w:p>
          <w:p w:rsidR="00303DB2" w:rsidRPr="00670405" w:rsidRDefault="00303DB2" w:rsidP="007F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3DB2" w:rsidRPr="00670405" w:rsidTr="007F2B6A">
        <w:trPr>
          <w:trHeight w:val="546"/>
          <w:jc w:val="center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spacing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ПК -3 способностью и готовностью выполнять научные исследования по научному направлению подразделения (кафедры) в рамках паспорта научной специальности </w:t>
            </w:r>
            <w:r w:rsidRPr="0067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«Фармацевтическая химия. Фармакогнозия» </w:t>
            </w: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2" w:rsidRPr="00670405" w:rsidRDefault="00303DB2" w:rsidP="007F2B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03DB2" w:rsidRPr="00303DB2" w:rsidRDefault="00303DB2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303DB2" w:rsidRPr="007E5BC0" w:rsidRDefault="00303DB2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bookmarkStart w:id="2" w:name="bookmark12"/>
      <w:bookmarkEnd w:id="1"/>
      <w:r w:rsidRPr="00303DB2">
        <w:rPr>
          <w:sz w:val="28"/>
          <w:szCs w:val="28"/>
        </w:rPr>
        <w:t xml:space="preserve">2. Требования к научному докладу, порядок его                                         </w:t>
      </w:r>
      <w:r w:rsidRPr="007E5BC0">
        <w:rPr>
          <w:sz w:val="24"/>
          <w:szCs w:val="24"/>
        </w:rPr>
        <w:t>подготовки и представления</w:t>
      </w:r>
      <w:bookmarkEnd w:id="2"/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–10-15 стр. (формат бумаги А4). Обязательными структурными элементами научного доклада являются: общая характеристика работы </w:t>
      </w:r>
      <w:r w:rsidRPr="007E5BC0">
        <w:rPr>
          <w:sz w:val="24"/>
          <w:szCs w:val="24"/>
        </w:rPr>
        <w:lastRenderedPageBreak/>
        <w:t xml:space="preserve">(введение), основное содержание </w:t>
      </w:r>
      <w:proofErr w:type="spellStart"/>
      <w:r w:rsidRPr="007E5BC0">
        <w:rPr>
          <w:sz w:val="24"/>
          <w:szCs w:val="24"/>
        </w:rPr>
        <w:t>исследования</w:t>
      </w:r>
      <w:proofErr w:type="gramStart"/>
      <w:r w:rsidRPr="007E5BC0">
        <w:rPr>
          <w:sz w:val="24"/>
          <w:szCs w:val="24"/>
        </w:rPr>
        <w:t>,з</w:t>
      </w:r>
      <w:proofErr w:type="gramEnd"/>
      <w:r w:rsidRPr="007E5BC0">
        <w:rPr>
          <w:sz w:val="24"/>
          <w:szCs w:val="24"/>
        </w:rPr>
        <w:t>аключение</w:t>
      </w:r>
      <w:proofErr w:type="spellEnd"/>
      <w:r w:rsidRPr="007E5BC0">
        <w:rPr>
          <w:sz w:val="24"/>
          <w:szCs w:val="24"/>
        </w:rPr>
        <w:t>, публикации по теме исследования.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 общей характеристике работы отражаются: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объект и предмет исследования;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цель и задачи исследования;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теоретико-методологические основания исследования;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экспериментальная база, этапы и методы исследования;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 заключении формулируются: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возможные пути и перспективы продолжения работы.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Приводится перечень публикаций.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303DB2" w:rsidRPr="007E5BC0" w:rsidRDefault="00303DB2" w:rsidP="00303DB2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4"/>
          <w:szCs w:val="24"/>
        </w:rPr>
      </w:pPr>
      <w:bookmarkStart w:id="3" w:name="bookmark13"/>
      <w:r w:rsidRPr="007E5BC0">
        <w:rPr>
          <w:i w:val="0"/>
          <w:sz w:val="24"/>
          <w:szCs w:val="24"/>
        </w:rPr>
        <w:t>3.Процедура представления научного доклада</w:t>
      </w:r>
      <w:bookmarkEnd w:id="3"/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lastRenderedPageBreak/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Представление и обсуждение научного доклада проводятся в следующем порядке: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информация председателя ГЭК о выпускнике (ФИО), теме работы, руководителе, рецензентах;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выступление выпускника с научным докладом (10-15 минут);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вопросы, заданные членами ГЭК по теме работы, и ответы на них;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выступление научного руководителя с краткой характеристикой аспиранта;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выступление рецензентов (или зачитывание рецензий);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ответ аспиранта на вопросы рецензентов, отраженные в рецензиях;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дискуссия, в которой может принять участие любой присутствующий на защите;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обсуждение научного доклада членами ГЭК;</w:t>
      </w:r>
    </w:p>
    <w:p w:rsidR="00303DB2" w:rsidRPr="007E5BC0" w:rsidRDefault="00303DB2" w:rsidP="00303DB2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303DB2" w:rsidRPr="007E5BC0" w:rsidRDefault="00303DB2" w:rsidP="00303DB2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4"/>
          <w:szCs w:val="24"/>
        </w:rPr>
      </w:pPr>
      <w:r w:rsidRPr="007E5BC0">
        <w:rPr>
          <w:sz w:val="24"/>
          <w:szCs w:val="24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7E5BC0">
        <w:rPr>
          <w:sz w:val="24"/>
          <w:szCs w:val="24"/>
        </w:rPr>
        <w:t>сформированности</w:t>
      </w:r>
      <w:proofErr w:type="spellEnd"/>
      <w:r w:rsidRPr="007E5BC0">
        <w:rPr>
          <w:sz w:val="24"/>
          <w:szCs w:val="24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7E5BC0" w:rsidRDefault="007E5BC0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4"/>
    </w:p>
    <w:p w:rsidR="00982576" w:rsidRDefault="00982576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982576" w:rsidRDefault="00982576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7E5BC0" w:rsidRDefault="007E5BC0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7E5BC0" w:rsidRDefault="007E5BC0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5" w:name="_GoBack"/>
      <w:bookmarkEnd w:id="5"/>
    </w:p>
    <w:p w:rsidR="00303DB2" w:rsidRPr="00303DB2" w:rsidRDefault="00303DB2" w:rsidP="00303DB2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iCs w:val="0"/>
          <w:sz w:val="28"/>
          <w:szCs w:val="28"/>
        </w:rPr>
      </w:pPr>
      <w:r w:rsidRPr="00303DB2">
        <w:rPr>
          <w:sz w:val="28"/>
          <w:szCs w:val="28"/>
        </w:rPr>
        <w:t xml:space="preserve">4. </w:t>
      </w:r>
      <w:bookmarkStart w:id="6" w:name="bookmark15"/>
      <w:bookmarkEnd w:id="4"/>
      <w:r w:rsidRPr="00303DB2">
        <w:rPr>
          <w:sz w:val="28"/>
          <w:szCs w:val="28"/>
        </w:rPr>
        <w:t>4</w:t>
      </w:r>
      <w:bookmarkStart w:id="7" w:name="bookmark16"/>
      <w:bookmarkEnd w:id="6"/>
      <w:r w:rsidRPr="00303DB2">
        <w:rPr>
          <w:sz w:val="28"/>
          <w:szCs w:val="28"/>
        </w:rPr>
        <w:t xml:space="preserve">.2 Критерии оценивания представленного аспирантом научного </w:t>
      </w:r>
      <w:proofErr w:type="gramStart"/>
      <w:r w:rsidRPr="00303DB2">
        <w:rPr>
          <w:sz w:val="28"/>
          <w:szCs w:val="28"/>
        </w:rPr>
        <w:t>доклада</w:t>
      </w:r>
      <w:proofErr w:type="gramEnd"/>
      <w:r w:rsidRPr="00303DB2">
        <w:rPr>
          <w:sz w:val="28"/>
          <w:szCs w:val="28"/>
        </w:rPr>
        <w:t xml:space="preserve"> об основных результатах подготовленной научно-квалификационной работы</w:t>
      </w:r>
      <w:bookmarkEnd w:id="7"/>
    </w:p>
    <w:p w:rsidR="00303DB2" w:rsidRPr="00303DB2" w:rsidRDefault="00303DB2" w:rsidP="00303DB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303DB2">
        <w:rPr>
          <w:rStyle w:val="22"/>
          <w:sz w:val="24"/>
          <w:szCs w:val="24"/>
        </w:rPr>
        <w:t>Таблица 2</w:t>
      </w:r>
    </w:p>
    <w:p w:rsidR="00303DB2" w:rsidRPr="00303DB2" w:rsidRDefault="00303DB2" w:rsidP="00303DB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03DB2">
        <w:rPr>
          <w:rStyle w:val="22"/>
          <w:sz w:val="24"/>
          <w:szCs w:val="24"/>
        </w:rPr>
        <w:t>Система оценок</w:t>
      </w:r>
    </w:p>
    <w:tbl>
      <w:tblPr>
        <w:tblStyle w:val="a3"/>
        <w:tblW w:w="9209" w:type="dxa"/>
        <w:tblLook w:val="04A0"/>
      </w:tblPr>
      <w:tblGrid>
        <w:gridCol w:w="5353"/>
        <w:gridCol w:w="3856"/>
      </w:tblGrid>
      <w:tr w:rsidR="00303DB2" w:rsidRPr="00303DB2" w:rsidTr="007F2B6A">
        <w:trPr>
          <w:trHeight w:val="148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03DB2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03DB2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03DB2" w:rsidRPr="00303DB2" w:rsidTr="007F2B6A">
        <w:trPr>
          <w:trHeight w:val="148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148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277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277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277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570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554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570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  <w:tr w:rsidR="00303DB2" w:rsidRPr="00303DB2" w:rsidTr="007F2B6A">
        <w:trPr>
          <w:trHeight w:val="847"/>
        </w:trPr>
        <w:tc>
          <w:tcPr>
            <w:tcW w:w="535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03DB2">
              <w:rPr>
                <w:sz w:val="24"/>
                <w:szCs w:val="24"/>
                <w:lang w:val="en-US"/>
              </w:rPr>
              <w:t>Scopus</w:t>
            </w:r>
            <w:r w:rsidRPr="00303DB2">
              <w:rPr>
                <w:sz w:val="24"/>
                <w:szCs w:val="24"/>
              </w:rPr>
              <w:t xml:space="preserve">, </w:t>
            </w:r>
            <w:proofErr w:type="spellStart"/>
            <w:r w:rsidRPr="00303DB2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3856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2,3,4,5</w:t>
            </w:r>
          </w:p>
        </w:tc>
      </w:tr>
    </w:tbl>
    <w:p w:rsidR="00303DB2" w:rsidRPr="00303DB2" w:rsidRDefault="00303DB2" w:rsidP="00303DB2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303DB2">
        <w:rPr>
          <w:rStyle w:val="22"/>
          <w:sz w:val="24"/>
          <w:szCs w:val="24"/>
        </w:rPr>
        <w:t>Таблица 3</w:t>
      </w:r>
    </w:p>
    <w:p w:rsidR="00303DB2" w:rsidRPr="00303DB2" w:rsidRDefault="00303DB2" w:rsidP="00303DB2">
      <w:pPr>
        <w:tabs>
          <w:tab w:val="left" w:pos="142"/>
        </w:tabs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03DB2">
        <w:rPr>
          <w:rFonts w:ascii="Times New Roman" w:hAnsi="Times New Roman" w:cs="Times New Roman"/>
          <w:b/>
        </w:rPr>
        <w:t>Критерии оценок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988"/>
        <w:gridCol w:w="1988"/>
        <w:gridCol w:w="1960"/>
        <w:gridCol w:w="1860"/>
      </w:tblGrid>
      <w:tr w:rsidR="00303DB2" w:rsidRPr="00303DB2" w:rsidTr="007F2B6A">
        <w:trPr>
          <w:trHeight w:val="700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Критерии для оценки «2»</w:t>
            </w:r>
          </w:p>
        </w:tc>
      </w:tr>
      <w:tr w:rsidR="00303DB2" w:rsidRPr="00303DB2" w:rsidTr="007F2B6A">
        <w:trPr>
          <w:trHeight w:val="487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достаточно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полно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актуальность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03DB2" w:rsidRPr="00303DB2" w:rsidTr="007F2B6A">
        <w:trPr>
          <w:trHeight w:val="502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четко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сформулирован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авторский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замысел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исследования;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достаточно четко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сформулирован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авторский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замысел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исследования;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обоснована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 xml:space="preserve">полученные результаты не обладают недостаточной научной новизной и (или) не имеют теоретической </w:t>
            </w:r>
            <w:r w:rsidRPr="00303DB2">
              <w:rPr>
                <w:sz w:val="24"/>
                <w:szCs w:val="24"/>
              </w:rPr>
              <w:lastRenderedPageBreak/>
              <w:t>значимости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lastRenderedPageBreak/>
              <w:t>отсутствуют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научная новизна и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теоретическая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значимость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полученных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результатов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lastRenderedPageBreak/>
              <w:t>Практическая значимость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показана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практическая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значимость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проведенного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 в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решении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научных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показана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практическая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значимость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проведенного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 в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решении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научных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практическая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значимость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проведенного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исследования в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решении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научных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проблем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показана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отсутствует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практическая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значимость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полученных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результатов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корректно  дается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критический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анализ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существующих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исследований,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автор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критический анализ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существующих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исследований,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автор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имеется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критический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анализ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отсутствует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критический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анализ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четко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03DB2">
              <w:rPr>
                <w:sz w:val="24"/>
                <w:szCs w:val="24"/>
              </w:rPr>
              <w:t>исследовательск</w:t>
            </w:r>
            <w:proofErr w:type="spellEnd"/>
            <w:r w:rsidRPr="00303DB2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имеются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несоответствия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между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Предложенная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работа отличается высоким уровнем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03DB2">
              <w:rPr>
                <w:sz w:val="24"/>
                <w:szCs w:val="24"/>
              </w:rPr>
              <w:t>структурированн</w:t>
            </w:r>
            <w:proofErr w:type="spellEnd"/>
            <w:r w:rsidRPr="00303DB2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Работа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методологичес</w:t>
            </w:r>
            <w:r w:rsidRPr="00303DB2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полученные в ходе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 xml:space="preserve">исследования результаты не </w:t>
            </w:r>
            <w:r w:rsidRPr="00303DB2">
              <w:rPr>
                <w:sz w:val="24"/>
                <w:szCs w:val="24"/>
              </w:rPr>
              <w:lastRenderedPageBreak/>
              <w:t xml:space="preserve">противоречат </w:t>
            </w:r>
            <w:proofErr w:type="spellStart"/>
            <w:r w:rsidRPr="00303DB2">
              <w:rPr>
                <w:sz w:val="24"/>
                <w:szCs w:val="24"/>
              </w:rPr>
              <w:t>закономерностя</w:t>
            </w:r>
            <w:proofErr w:type="spellEnd"/>
            <w:r w:rsidRPr="00303DB2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lastRenderedPageBreak/>
              <w:t>в формулировке выводов по результатам проведенного исследования нет аргументирован</w:t>
            </w:r>
            <w:r w:rsidRPr="00303DB2">
              <w:rPr>
                <w:sz w:val="24"/>
                <w:szCs w:val="24"/>
              </w:rPr>
              <w:softHyphen/>
              <w:t>ности и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самостоятельно</w:t>
            </w:r>
            <w:r w:rsidRPr="00303DB2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03DB2" w:rsidRPr="00303DB2" w:rsidTr="007F2B6A">
        <w:trPr>
          <w:trHeight w:val="146"/>
        </w:trPr>
        <w:tc>
          <w:tcPr>
            <w:tcW w:w="1413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lastRenderedPageBreak/>
              <w:t>Перечень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публикаций, в том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числе статей в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журналах,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включенных в</w:t>
            </w:r>
          </w:p>
          <w:p w:rsidR="00303DB2" w:rsidRPr="00982576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03DB2">
              <w:rPr>
                <w:sz w:val="24"/>
                <w:szCs w:val="24"/>
              </w:rPr>
              <w:t>списокВАК</w:t>
            </w:r>
            <w:proofErr w:type="spellEnd"/>
            <w:r w:rsidRPr="00982576">
              <w:rPr>
                <w:sz w:val="24"/>
                <w:szCs w:val="24"/>
              </w:rPr>
              <w:t>,</w:t>
            </w:r>
          </w:p>
          <w:p w:rsidR="00303DB2" w:rsidRPr="00982576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РИНЦ</w:t>
            </w:r>
            <w:r w:rsidRPr="00982576">
              <w:rPr>
                <w:sz w:val="24"/>
                <w:szCs w:val="24"/>
              </w:rPr>
              <w:t xml:space="preserve">, </w:t>
            </w:r>
            <w:r w:rsidRPr="00303DB2">
              <w:rPr>
                <w:sz w:val="24"/>
                <w:szCs w:val="24"/>
                <w:lang w:val="en-US"/>
              </w:rPr>
              <w:t>Scopus</w:t>
            </w:r>
            <w:r w:rsidRPr="00982576">
              <w:rPr>
                <w:sz w:val="24"/>
                <w:szCs w:val="24"/>
              </w:rPr>
              <w:t xml:space="preserve">, </w:t>
            </w:r>
            <w:r w:rsidRPr="00303DB2">
              <w:rPr>
                <w:sz w:val="24"/>
                <w:szCs w:val="24"/>
                <w:lang w:val="en-US"/>
              </w:rPr>
              <w:t>Web</w:t>
            </w:r>
            <w:r w:rsidRPr="00982576">
              <w:rPr>
                <w:sz w:val="24"/>
                <w:szCs w:val="24"/>
              </w:rPr>
              <w:t xml:space="preserve"> </w:t>
            </w:r>
            <w:r w:rsidRPr="00303DB2">
              <w:rPr>
                <w:sz w:val="24"/>
                <w:szCs w:val="24"/>
                <w:lang w:val="en-US"/>
              </w:rPr>
              <w:t>of</w:t>
            </w:r>
            <w:r w:rsidRPr="00982576">
              <w:rPr>
                <w:sz w:val="24"/>
                <w:szCs w:val="24"/>
              </w:rPr>
              <w:t xml:space="preserve"> </w:t>
            </w:r>
            <w:r w:rsidRPr="00303DB2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Имеются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публикации в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03DB2">
              <w:rPr>
                <w:sz w:val="24"/>
                <w:szCs w:val="24"/>
              </w:rPr>
              <w:t>высокорейтин</w:t>
            </w:r>
            <w:proofErr w:type="spellEnd"/>
            <w:r w:rsidRPr="00303DB2">
              <w:rPr>
                <w:sz w:val="24"/>
                <w:szCs w:val="24"/>
              </w:rPr>
              <w:t>-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03DB2">
              <w:rPr>
                <w:sz w:val="24"/>
                <w:szCs w:val="24"/>
              </w:rPr>
              <w:t>говых</w:t>
            </w:r>
            <w:proofErr w:type="spellEnd"/>
            <w:r w:rsidRPr="00303DB2">
              <w:rPr>
                <w:sz w:val="24"/>
                <w:szCs w:val="24"/>
              </w:rPr>
              <w:t xml:space="preserve"> журналах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(перечень ВАК,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РИНЦ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 др.), поданы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заявки или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имеются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патенты или свидетельства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регистрации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программных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Имеются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публикации в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журналах РИНЦ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или сборниках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международных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конференций,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поданы заявки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или имеются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свидетельства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регистрации программных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Имеются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публикации в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сборниках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03DB2">
              <w:rPr>
                <w:sz w:val="24"/>
                <w:szCs w:val="24"/>
              </w:rPr>
              <w:t>международны</w:t>
            </w:r>
            <w:proofErr w:type="spellEnd"/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х или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всероссийских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Нет публикаций,</w:t>
            </w:r>
          </w:p>
          <w:p w:rsidR="00303DB2" w:rsidRPr="00303DB2" w:rsidRDefault="00303DB2" w:rsidP="007F2B6A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заявок или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патентов,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свидетельств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регистрации программных</w:t>
            </w:r>
          </w:p>
          <w:p w:rsidR="00303DB2" w:rsidRPr="00303DB2" w:rsidRDefault="00303DB2" w:rsidP="007F2B6A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03DB2">
              <w:rPr>
                <w:sz w:val="24"/>
                <w:szCs w:val="24"/>
              </w:rPr>
              <w:t>средств</w:t>
            </w:r>
          </w:p>
        </w:tc>
      </w:tr>
    </w:tbl>
    <w:p w:rsidR="00303DB2" w:rsidRPr="00303DB2" w:rsidRDefault="00303DB2" w:rsidP="00303DB2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p w:rsidR="00812DF4" w:rsidRPr="00303DB2" w:rsidRDefault="00812DF4">
      <w:pPr>
        <w:rPr>
          <w:rFonts w:ascii="Times New Roman" w:hAnsi="Times New Roman" w:cs="Times New Roman"/>
        </w:rPr>
      </w:pPr>
    </w:p>
    <w:sectPr w:rsidR="00812DF4" w:rsidRPr="00303DB2" w:rsidSect="008C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B2"/>
    <w:rsid w:val="00303DB2"/>
    <w:rsid w:val="005F5C5E"/>
    <w:rsid w:val="007E5BC0"/>
    <w:rsid w:val="00812DF4"/>
    <w:rsid w:val="00982576"/>
    <w:rsid w:val="00A03023"/>
    <w:rsid w:val="00C434DD"/>
    <w:rsid w:val="00EB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D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303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303DB2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303DB2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303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03DB2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1"/>
    <w:uiPriority w:val="99"/>
    <w:rsid w:val="00303DB2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03DB2"/>
  </w:style>
  <w:style w:type="character" w:customStyle="1" w:styleId="120">
    <w:name w:val="Заголовок №1 (2)_"/>
    <w:basedOn w:val="a0"/>
    <w:link w:val="121"/>
    <w:uiPriority w:val="99"/>
    <w:locked/>
    <w:rsid w:val="00303DB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303DB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303DB2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03DB2"/>
    <w:pPr>
      <w:shd w:val="clear" w:color="auto" w:fill="FFFFFF"/>
      <w:spacing w:after="180" w:line="240" w:lineRule="atLeast"/>
      <w:ind w:hanging="16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303DB2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uiPriority w:val="99"/>
    <w:rsid w:val="00303DB2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10">
    <w:name w:val="Подпись к таблице (2)1"/>
    <w:basedOn w:val="a"/>
    <w:link w:val="21"/>
    <w:uiPriority w:val="99"/>
    <w:rsid w:val="00303DB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7E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2019-12-18T05:18:00Z</cp:lastPrinted>
  <dcterms:created xsi:type="dcterms:W3CDTF">2019-12-14T09:23:00Z</dcterms:created>
  <dcterms:modified xsi:type="dcterms:W3CDTF">2020-09-20T13:48:00Z</dcterms:modified>
</cp:coreProperties>
</file>