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</w:t>
      </w:r>
      <w:r w:rsidR="00752850">
        <w:rPr>
          <w:b/>
          <w:sz w:val="32"/>
        </w:rPr>
        <w:t>НЕОТЛОЖНАЯ ПОМОЩЬ В РАДИОЛОГИИ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BD3532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</w:t>
      </w:r>
      <w:r w:rsidR="006243C4">
        <w:rPr>
          <w:sz w:val="32"/>
        </w:rPr>
        <w:t>08</w:t>
      </w:r>
      <w:r w:rsidR="008411F6" w:rsidRPr="00BD3532">
        <w:rPr>
          <w:sz w:val="32"/>
        </w:rPr>
        <w:t xml:space="preserve"> </w:t>
      </w:r>
      <w:r w:rsidR="006243C4">
        <w:rPr>
          <w:sz w:val="32"/>
        </w:rPr>
        <w:t>Радиология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243C4">
        <w:rPr>
          <w:i/>
          <w:sz w:val="22"/>
        </w:rPr>
        <w:t>31.08.08</w:t>
      </w:r>
      <w:r w:rsidRPr="009366F7">
        <w:rPr>
          <w:i/>
          <w:sz w:val="22"/>
        </w:rPr>
        <w:t xml:space="preserve"> </w:t>
      </w:r>
      <w:r w:rsidR="006243C4">
        <w:rPr>
          <w:i/>
          <w:sz w:val="22"/>
        </w:rPr>
        <w:t>Радиология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по </w:t>
      </w:r>
      <w:r w:rsidR="006243C4">
        <w:rPr>
          <w:sz w:val="28"/>
        </w:rPr>
        <w:t>радиологии»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</w:t>
      </w:r>
      <w:r w:rsidR="006243C4">
        <w:rPr>
          <w:sz w:val="28"/>
          <w:szCs w:val="28"/>
        </w:rPr>
        <w:t>радиологической службы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6243C4">
        <w:rPr>
          <w:sz w:val="28"/>
          <w:szCs w:val="28"/>
        </w:rPr>
        <w:t>ми требованиями врача-радиолога</w:t>
      </w:r>
      <w:r w:rsidR="00072310">
        <w:rPr>
          <w:sz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</w:t>
      </w:r>
      <w:r w:rsidR="006243C4">
        <w:rPr>
          <w:sz w:val="28"/>
          <w:szCs w:val="28"/>
        </w:rPr>
        <w:t xml:space="preserve"> радиологической</w:t>
      </w:r>
      <w:r w:rsidR="008411F6" w:rsidRPr="006F766B">
        <w:rPr>
          <w:sz w:val="28"/>
          <w:szCs w:val="28"/>
        </w:rPr>
        <w:t xml:space="preserve"> диагностике основных заболеваний</w:t>
      </w:r>
      <w:r w:rsidR="006243C4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</w:t>
      </w:r>
      <w:r w:rsidR="006243C4">
        <w:rPr>
          <w:sz w:val="28"/>
          <w:szCs w:val="28"/>
        </w:rPr>
        <w:t xml:space="preserve"> радиологическим методам диагностики и</w:t>
      </w:r>
      <w:r w:rsidR="008411F6" w:rsidRPr="006F766B">
        <w:rPr>
          <w:sz w:val="28"/>
          <w:szCs w:val="28"/>
        </w:rPr>
        <w:t xml:space="preserve"> л</w:t>
      </w:r>
      <w:r w:rsidR="006243C4">
        <w:rPr>
          <w:sz w:val="28"/>
          <w:szCs w:val="28"/>
        </w:rPr>
        <w:t>ечения основных заболеваний.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6243C4">
        <w:rPr>
          <w:sz w:val="28"/>
          <w:szCs w:val="28"/>
        </w:rPr>
        <w:t xml:space="preserve"> врача-радиолога.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lastRenderedPageBreak/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6243C4">
        <w:rPr>
          <w:sz w:val="28"/>
          <w:szCs w:val="28"/>
        </w:rPr>
        <w:t>ий областной</w:t>
      </w:r>
      <w:r w:rsidR="001A3E2D" w:rsidRPr="001A3E2D">
        <w:rPr>
          <w:sz w:val="28"/>
          <w:szCs w:val="28"/>
        </w:rPr>
        <w:t xml:space="preserve"> клиническ</w:t>
      </w:r>
      <w:r w:rsidR="006243C4">
        <w:rPr>
          <w:sz w:val="28"/>
          <w:szCs w:val="28"/>
        </w:rPr>
        <w:t>ий онкологический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752850">
        <w:rPr>
          <w:sz w:val="28"/>
          <w:szCs w:val="28"/>
        </w:rPr>
        <w:t xml:space="preserve">2 </w:t>
      </w:r>
      <w:r w:rsidR="001A3E2D" w:rsidRPr="001A3E2D">
        <w:rPr>
          <w:sz w:val="28"/>
          <w:szCs w:val="28"/>
        </w:rPr>
        <w:t>недел</w:t>
      </w:r>
      <w:r w:rsidR="00752850">
        <w:rPr>
          <w:sz w:val="28"/>
          <w:szCs w:val="28"/>
        </w:rPr>
        <w:t>и</w:t>
      </w:r>
      <w:r w:rsidR="001A3E2D" w:rsidRPr="001A3E2D">
        <w:rPr>
          <w:sz w:val="28"/>
          <w:szCs w:val="28"/>
        </w:rPr>
        <w:t xml:space="preserve"> на 1 году обучения и </w:t>
      </w:r>
      <w:r w:rsidR="00752850">
        <w:rPr>
          <w:sz w:val="28"/>
          <w:szCs w:val="28"/>
        </w:rPr>
        <w:t>1 неделя</w:t>
      </w:r>
      <w:r w:rsidR="001A3E2D" w:rsidRPr="001A3E2D">
        <w:rPr>
          <w:sz w:val="28"/>
          <w:szCs w:val="28"/>
        </w:rPr>
        <w:t xml:space="preserve">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752850">
        <w:rPr>
          <w:sz w:val="28"/>
          <w:szCs w:val="28"/>
        </w:rPr>
        <w:t>18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C84963">
        <w:rPr>
          <w:sz w:val="28"/>
          <w:szCs w:val="28"/>
        </w:rPr>
        <w:t>я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="00752850">
        <w:rPr>
          <w:sz w:val="28"/>
          <w:szCs w:val="28"/>
        </w:rPr>
        <w:t xml:space="preserve"> - 108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752850">
      <w:pPr>
        <w:autoSpaceDE w:val="0"/>
        <w:autoSpaceDN w:val="0"/>
        <w:adjustRightInd w:val="0"/>
        <w:ind w:firstLine="0"/>
        <w:contextualSpacing/>
        <w:rPr>
          <w:color w:val="000000"/>
          <w:sz w:val="28"/>
          <w:szCs w:val="28"/>
        </w:rPr>
      </w:pP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8411F6" w:rsidRPr="006243C4" w:rsidRDefault="008411F6" w:rsidP="00752850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firstLine="0"/>
        <w:jc w:val="left"/>
        <w:rPr>
          <w:color w:val="000000"/>
          <w:sz w:val="28"/>
          <w:szCs w:val="28"/>
        </w:rPr>
      </w:pPr>
      <w:r w:rsidRPr="006243C4">
        <w:rPr>
          <w:b/>
          <w:color w:val="000000"/>
          <w:sz w:val="28"/>
          <w:szCs w:val="28"/>
        </w:rPr>
        <w:t>ПК-6</w:t>
      </w:r>
      <w:r w:rsidRPr="006243C4">
        <w:rPr>
          <w:color w:val="000000"/>
          <w:sz w:val="28"/>
          <w:szCs w:val="28"/>
        </w:rPr>
        <w:t xml:space="preserve">: </w:t>
      </w:r>
      <w:r w:rsidR="006243C4" w:rsidRPr="006243C4">
        <w:rPr>
          <w:color w:val="000000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8411F6" w:rsidRPr="007D7922" w:rsidRDefault="008411F6" w:rsidP="00752850">
      <w:pPr>
        <w:numPr>
          <w:ilvl w:val="0"/>
          <w:numId w:val="3"/>
        </w:numPr>
        <w:autoSpaceDE w:val="0"/>
        <w:autoSpaceDN w:val="0"/>
        <w:adjustRightInd w:val="0"/>
        <w:ind w:left="142" w:hanging="11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</w:t>
      </w:r>
      <w:r w:rsidR="006243C4">
        <w:rPr>
          <w:b/>
          <w:color w:val="000000"/>
          <w:sz w:val="28"/>
          <w:szCs w:val="28"/>
        </w:rPr>
        <w:t>К-7</w:t>
      </w:r>
      <w:r w:rsidRPr="007D7922">
        <w:rPr>
          <w:color w:val="000000"/>
          <w:sz w:val="28"/>
          <w:szCs w:val="28"/>
        </w:rPr>
        <w:t xml:space="preserve">: </w:t>
      </w:r>
      <w:r w:rsidR="006243C4" w:rsidRPr="006243C4">
        <w:rPr>
          <w:color w:val="000000"/>
          <w:sz w:val="28"/>
          <w:szCs w:val="28"/>
        </w:rPr>
        <w:t>готовность к применению радиологических методов лечения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6243C4">
        <w:rPr>
          <w:sz w:val="28"/>
        </w:rPr>
        <w:t xml:space="preserve">радиологии» </w:t>
      </w:r>
      <w:r w:rsidRPr="0020383F">
        <w:rPr>
          <w:sz w:val="28"/>
          <w:szCs w:val="28"/>
        </w:rPr>
        <w:t>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6243C4">
        <w:rPr>
          <w:rFonts w:eastAsia="Calibri"/>
          <w:bCs/>
          <w:color w:val="000000"/>
          <w:sz w:val="28"/>
        </w:rPr>
        <w:t>Радиология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6243C4" w:rsidRDefault="006243C4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lang w:val="en-US"/>
              </w:rPr>
              <w:t>I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</w:t>
      </w:r>
      <w:r w:rsidRPr="000A59D3">
        <w:rPr>
          <w:rFonts w:eastAsia="Calibri"/>
          <w:bCs/>
          <w:sz w:val="28"/>
        </w:rPr>
        <w:lastRenderedPageBreak/>
        <w:t xml:space="preserve">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7"/>
        <w:gridCol w:w="4287"/>
        <w:gridCol w:w="283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609"/>
        <w:gridCol w:w="2383"/>
        <w:gridCol w:w="1755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</w:t>
      </w:r>
      <w:r w:rsidRPr="000A59D3">
        <w:rPr>
          <w:rFonts w:eastAsia="Calibri"/>
          <w:sz w:val="28"/>
        </w:rPr>
        <w:lastRenderedPageBreak/>
        <w:t xml:space="preserve">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 xml:space="preserve">, С. В. </w:t>
      </w:r>
      <w:proofErr w:type="gramStart"/>
      <w:r w:rsidRPr="000A59D3">
        <w:rPr>
          <w:rFonts w:eastAsia="Calibri"/>
          <w:sz w:val="28"/>
        </w:rPr>
        <w:t>Моисеев ;</w:t>
      </w:r>
      <w:proofErr w:type="gramEnd"/>
      <w:r w:rsidRPr="000A59D3">
        <w:rPr>
          <w:rFonts w:eastAsia="Calibri"/>
          <w:sz w:val="28"/>
        </w:rPr>
        <w:t xml:space="preserve"> ред. В. С. Моисеев. - </w:t>
      </w:r>
      <w:proofErr w:type="gramStart"/>
      <w:r w:rsidRPr="000A59D3">
        <w:rPr>
          <w:rFonts w:eastAsia="Calibri"/>
          <w:sz w:val="28"/>
        </w:rPr>
        <w:t>М.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6243C4">
        <w:rPr>
          <w:rFonts w:eastAsia="Calibri"/>
          <w:bCs/>
          <w:color w:val="000000"/>
          <w:sz w:val="28"/>
          <w:szCs w:val="28"/>
        </w:rPr>
        <w:t>Радиология</w:t>
      </w:r>
      <w:r w:rsidRPr="00952E26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453"/>
        <w:gridCol w:w="2286"/>
        <w:gridCol w:w="2256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ООКОД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6243C4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6243C4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6243C4" w:rsidP="006243C4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Терапевтическое отделение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</w:t>
      </w:r>
      <w:r w:rsidRPr="00952E26">
        <w:rPr>
          <w:rFonts w:eastAsia="Calibri"/>
          <w:bCs/>
          <w:sz w:val="28"/>
          <w:szCs w:val="28"/>
        </w:rPr>
        <w:lastRenderedPageBreak/>
        <w:t xml:space="preserve">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8D2CC1">
        <w:rPr>
          <w:rFonts w:eastAsia="Calibri"/>
          <w:b/>
          <w:color w:val="000000"/>
          <w:spacing w:val="-3"/>
          <w:sz w:val="28"/>
        </w:rPr>
        <w:t>Радиология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A142A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НЕОТЛОЖНАЯ ПОМОЩЬ В РАДИОЛОГИИ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8D2CC1">
        <w:rPr>
          <w:rFonts w:eastAsia="Calibri"/>
          <w:b/>
          <w:color w:val="000000"/>
          <w:spacing w:val="-3"/>
          <w:sz w:val="28"/>
        </w:rPr>
        <w:t>Радиология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A142A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ПРАКТИКА НЕОТЛОЖНАЯ ПОМОЩЬ В</w:t>
      </w:r>
      <w:r w:rsidR="00B04A99" w:rsidRPr="00677A59">
        <w:rPr>
          <w:rFonts w:eastAsia="Calibri"/>
          <w:b/>
          <w:color w:val="000000"/>
          <w:spacing w:val="-3"/>
          <w:sz w:val="28"/>
        </w:rPr>
        <w:t xml:space="preserve"> </w:t>
      </w:r>
      <w:r w:rsidR="008D2CC1">
        <w:rPr>
          <w:rFonts w:eastAsia="Calibri"/>
          <w:b/>
          <w:color w:val="000000"/>
          <w:spacing w:val="-3"/>
          <w:sz w:val="28"/>
        </w:rPr>
        <w:t>РАДИОЛОГИИ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701"/>
        <w:gridCol w:w="1701"/>
      </w:tblGrid>
      <w:tr w:rsidR="00977F50" w:rsidRPr="009022FD" w:rsidTr="003803FF">
        <w:trPr>
          <w:trHeight w:val="563"/>
        </w:trPr>
        <w:tc>
          <w:tcPr>
            <w:tcW w:w="675" w:type="dxa"/>
            <w:vMerge w:val="restart"/>
          </w:tcPr>
          <w:p w:rsidR="00977F50" w:rsidRPr="009022FD" w:rsidRDefault="00977F50" w:rsidP="003803FF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977F50" w:rsidRPr="009022FD" w:rsidRDefault="00977F50" w:rsidP="003803FF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</w:tcPr>
          <w:p w:rsidR="00977F50" w:rsidRPr="009022FD" w:rsidRDefault="00977F50" w:rsidP="003803FF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977F50" w:rsidRPr="009022FD" w:rsidRDefault="00977F50" w:rsidP="003803FF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977F50" w:rsidRPr="009022FD" w:rsidRDefault="00977F50" w:rsidP="003803FF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9022FD">
              <w:rPr>
                <w:rFonts w:eastAsia="Calibri"/>
                <w:color w:val="000000"/>
              </w:rPr>
              <w:t xml:space="preserve">Усвоение </w:t>
            </w:r>
          </w:p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9022FD">
              <w:rPr>
                <w:rFonts w:eastAsia="Calibri"/>
                <w:color w:val="000000"/>
              </w:rPr>
              <w:t>профессиональных</w:t>
            </w:r>
            <w:r w:rsidRPr="009022FD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  <w:vMerge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Планируемое </w:t>
            </w:r>
          </w:p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Выполненное количество </w:t>
            </w: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lang w:val="en-US"/>
              </w:rPr>
              <w:t>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Диагностика неотложных состояний (</w:t>
            </w:r>
            <w:r w:rsidRPr="009022FD">
              <w:rPr>
                <w:rFonts w:eastAsia="Calibri"/>
              </w:rPr>
              <w:t xml:space="preserve">см. перечень раздела </w:t>
            </w:r>
            <w:r w:rsidRPr="009022FD">
              <w:rPr>
                <w:rFonts w:eastAsia="Calibri"/>
                <w:lang w:val="en-US"/>
              </w:rPr>
              <w:t>II</w:t>
            </w:r>
            <w:r w:rsidRPr="009022FD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130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стенокардии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Острый коронарный синдром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Пароксизмальные нарушения ритма сердца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Нарушения проводимости сердца и синдром МЭС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Астматический статус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почечная недостаточность, острая токсическая почка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Почечная колика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Кома (диабетическая, гипогликемическая, </w:t>
            </w:r>
            <w:proofErr w:type="spellStart"/>
            <w:r w:rsidRPr="009022FD">
              <w:rPr>
                <w:rFonts w:eastAsia="Calibri"/>
              </w:rPr>
              <w:t>гиперосмолярная</w:t>
            </w:r>
            <w:proofErr w:type="spellEnd"/>
            <w:r w:rsidRPr="009022FD">
              <w:rPr>
                <w:rFonts w:eastAsia="Calibri"/>
              </w:rPr>
              <w:t>, печеночная)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Желудочно-кишечное кровотечение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Базовая сердечно-легочная реанимация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III.</w:t>
            </w:r>
          </w:p>
        </w:tc>
        <w:tc>
          <w:tcPr>
            <w:tcW w:w="8959" w:type="dxa"/>
            <w:gridSpan w:val="3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77F50" w:rsidRPr="009022FD" w:rsidTr="003803FF">
        <w:trPr>
          <w:trHeight w:val="155"/>
        </w:trPr>
        <w:tc>
          <w:tcPr>
            <w:tcW w:w="675" w:type="dxa"/>
          </w:tcPr>
          <w:p w:rsidR="00977F50" w:rsidRPr="009022FD" w:rsidRDefault="00977F50" w:rsidP="003803FF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медицинская карта стационарного больного</w:t>
            </w:r>
          </w:p>
          <w:p w:rsidR="00977F50" w:rsidRPr="009022FD" w:rsidRDefault="00977F50" w:rsidP="003803FF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77F50" w:rsidRPr="009022FD" w:rsidRDefault="00977F50" w:rsidP="003803FF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bookmarkStart w:id="0" w:name="_GoBack"/>
      <w:bookmarkEnd w:id="0"/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301F9"/>
    <w:rsid w:val="00553FE0"/>
    <w:rsid w:val="005628F7"/>
    <w:rsid w:val="00621755"/>
    <w:rsid w:val="006243C4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52850"/>
    <w:rsid w:val="007949DA"/>
    <w:rsid w:val="008411F6"/>
    <w:rsid w:val="008D2CC1"/>
    <w:rsid w:val="008E4D2B"/>
    <w:rsid w:val="009366F7"/>
    <w:rsid w:val="00947581"/>
    <w:rsid w:val="00952E26"/>
    <w:rsid w:val="00977F50"/>
    <w:rsid w:val="009F38E3"/>
    <w:rsid w:val="00A142A9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56315-4A4A-439D-A6E1-37589F8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E695-208B-47BA-B344-045B39DB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Пользователь</cp:lastModifiedBy>
  <cp:revision>6</cp:revision>
  <dcterms:created xsi:type="dcterms:W3CDTF">2019-10-09T10:52:00Z</dcterms:created>
  <dcterms:modified xsi:type="dcterms:W3CDTF">2019-10-13T10:30:00Z</dcterms:modified>
</cp:coreProperties>
</file>