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F" w:rsidRDefault="00130BCF" w:rsidP="00130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E1032">
        <w:rPr>
          <w:rFonts w:ascii="Times New Roman" w:hAnsi="Times New Roman" w:cs="Times New Roman"/>
          <w:b/>
          <w:sz w:val="28"/>
          <w:szCs w:val="28"/>
        </w:rPr>
        <w:t>4</w:t>
      </w:r>
      <w:r w:rsidR="00CA6C8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130BCF" w:rsidRDefault="00130BCF" w:rsidP="0013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94" w:rsidRDefault="00BE1032" w:rsidP="00BE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32">
        <w:rPr>
          <w:rFonts w:ascii="Times New Roman" w:hAnsi="Times New Roman" w:cs="Times New Roman"/>
          <w:b/>
          <w:sz w:val="28"/>
          <w:szCs w:val="28"/>
        </w:rPr>
        <w:t>Проведение конференций по вопросам здорового образа жизни</w:t>
      </w:r>
    </w:p>
    <w:p w:rsidR="00BE1032" w:rsidRDefault="00BE1032" w:rsidP="00BE10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научно – практическая</w:t>
      </w:r>
      <w:r w:rsidRPr="00BE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конференция «Профилактическая педиатрия XXI века: программирование </w:t>
      </w:r>
      <w:r w:rsidRPr="00BE10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профилактика заболеваний детского и подросткового возраста»</w:t>
      </w:r>
    </w:p>
    <w:p w:rsidR="00BE1032" w:rsidRPr="00BE1032" w:rsidRDefault="00BE1032" w:rsidP="00BE103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230BE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https://www.orgma.ru/novosti/item/5168-profilakticheskaya-pediatriya-xxi-veka-programmirovanie-zdorovya-profilaktika-zabolevanij-detskogo-i-podrostkovogo-vozrasta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32" w:rsidRPr="00BE1032" w:rsidRDefault="00BE1032" w:rsidP="00BE10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032" w:rsidRPr="00BE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B"/>
    <w:rsid w:val="00130BCF"/>
    <w:rsid w:val="002F3C75"/>
    <w:rsid w:val="00BE1032"/>
    <w:rsid w:val="00CA6C88"/>
    <w:rsid w:val="00F15394"/>
    <w:rsid w:val="00F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32FF-453A-468D-9241-AA27BB36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gma.ru/novosti/item/5168-profilakticheskaya-pediatriya-xxi-veka-programmirovanie-zdorovya-profilaktika-zabolevanij-detskogo-i-podrostkov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2020-02-26T11:45:00Z</dcterms:created>
  <dcterms:modified xsi:type="dcterms:W3CDTF">2020-02-26T11:45:00Z</dcterms:modified>
</cp:coreProperties>
</file>