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медицинский университет»</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Дисциплина: АДАПТИВНАЯ ФИЗИЧЕСКАЯ КУЛЬТУРА И СПОРТ ИНВАЛИДОВ</w:t>
      </w:r>
      <w:bookmarkStart w:id="0" w:name="_GoBack"/>
      <w:bookmarkEnd w:id="0"/>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Модуль второй</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caps/>
          <w:color w:val="000000"/>
          <w:sz w:val="28"/>
          <w:szCs w:val="28"/>
        </w:rPr>
      </w:pPr>
      <w:r>
        <w:rPr>
          <w:rFonts w:ascii="Times New Roman" w:hAnsi="Times New Roman" w:cs="Times New Roman"/>
          <w:color w:val="000000"/>
          <w:sz w:val="28"/>
          <w:szCs w:val="28"/>
        </w:rPr>
        <w:t>по специальности</w:t>
      </w:r>
    </w:p>
    <w:p w:rsidR="002D102D" w:rsidRDefault="002D102D" w:rsidP="002D102D">
      <w:pPr>
        <w:spacing w:after="0"/>
        <w:jc w:val="center"/>
        <w:rPr>
          <w:rFonts w:ascii="Times New Roman" w:hAnsi="Times New Roman" w:cs="Times New Roman"/>
          <w:sz w:val="28"/>
          <w:szCs w:val="28"/>
        </w:rPr>
      </w:pPr>
      <w:r>
        <w:rPr>
          <w:rFonts w:ascii="Times New Roman" w:hAnsi="Times New Roman" w:cs="Times New Roman"/>
          <w:i/>
          <w:color w:val="000000"/>
          <w:sz w:val="28"/>
          <w:szCs w:val="28"/>
        </w:rPr>
        <w:t>31.05.03 Стоматология</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 xml:space="preserve">Выполнил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____ группы</w:t>
      </w: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B371E2" w:rsidRPr="00BC3DAB" w:rsidRDefault="00B371E2" w:rsidP="00B371E2">
      <w:pPr>
        <w:spacing w:after="0"/>
        <w:ind w:left="4678"/>
        <w:jc w:val="center"/>
        <w:rPr>
          <w:rFonts w:ascii="Times New Roman" w:hAnsi="Times New Roman" w:cs="Times New Roman"/>
          <w:sz w:val="20"/>
          <w:szCs w:val="20"/>
        </w:rPr>
      </w:pPr>
      <w:r w:rsidRPr="00BC3DAB">
        <w:rPr>
          <w:rFonts w:ascii="Times New Roman" w:hAnsi="Times New Roman" w:cs="Times New Roman"/>
          <w:sz w:val="20"/>
          <w:szCs w:val="20"/>
        </w:rPr>
        <w:t>(ФИО)</w:t>
      </w:r>
    </w:p>
    <w:p w:rsidR="00B371E2" w:rsidRDefault="00B371E2" w:rsidP="00B371E2">
      <w:pPr>
        <w:spacing w:after="0"/>
        <w:ind w:left="4678"/>
        <w:rPr>
          <w:rFonts w:ascii="Times New Roman" w:hAnsi="Times New Roman" w:cs="Times New Roman"/>
          <w:sz w:val="28"/>
          <w:szCs w:val="28"/>
        </w:rPr>
      </w:pPr>
      <w:r>
        <w:rPr>
          <w:rFonts w:ascii="Times New Roman" w:hAnsi="Times New Roman" w:cs="Times New Roman"/>
          <w:sz w:val="28"/>
          <w:szCs w:val="28"/>
        </w:rPr>
        <w:t>Проверил________________________</w:t>
      </w:r>
    </w:p>
    <w:p w:rsidR="00B371E2" w:rsidRPr="00BC3DAB" w:rsidRDefault="00B371E2" w:rsidP="00B371E2">
      <w:pPr>
        <w:spacing w:after="0"/>
        <w:ind w:left="4678"/>
        <w:jc w:val="center"/>
        <w:rPr>
          <w:rFonts w:ascii="Times New Roman" w:hAnsi="Times New Roman" w:cs="Times New Roman"/>
          <w:sz w:val="24"/>
          <w:szCs w:val="24"/>
        </w:rPr>
      </w:pPr>
      <w:r w:rsidRPr="00BC3DAB">
        <w:rPr>
          <w:rFonts w:ascii="Times New Roman" w:hAnsi="Times New Roman" w:cs="Times New Roman"/>
          <w:sz w:val="24"/>
          <w:szCs w:val="24"/>
        </w:rPr>
        <w:t>(ФИО преподавателя)</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rPr>
          <w:rFonts w:ascii="Times New Roman" w:hAnsi="Times New Roman" w:cs="Times New Roman"/>
          <w:sz w:val="28"/>
          <w:szCs w:val="28"/>
        </w:rPr>
      </w:pPr>
    </w:p>
    <w:p w:rsidR="00E6715F" w:rsidRDefault="00E6715F" w:rsidP="00B371E2">
      <w:pPr>
        <w:spacing w:after="0"/>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 2020</w:t>
      </w:r>
    </w:p>
    <w:p w:rsidR="00270744" w:rsidRPr="00914A0F" w:rsidRDefault="00270744" w:rsidP="00270744">
      <w:pPr>
        <w:widowControl w:val="0"/>
        <w:spacing w:after="0" w:line="240" w:lineRule="auto"/>
        <w:ind w:firstLine="709"/>
        <w:jc w:val="both"/>
        <w:rPr>
          <w:rFonts w:ascii="Times New Roman" w:eastAsia="Times New Roman" w:hAnsi="Times New Roman" w:cs="Times New Roman"/>
          <w:b/>
          <w:sz w:val="28"/>
          <w:szCs w:val="28"/>
          <w:lang w:eastAsia="ru-RU"/>
        </w:rPr>
      </w:pPr>
      <w:proofErr w:type="gramStart"/>
      <w:r w:rsidRPr="00914A0F">
        <w:rPr>
          <w:rFonts w:ascii="Times New Roman" w:eastAsia="Times New Roman" w:hAnsi="Times New Roman" w:cs="Times New Roman"/>
          <w:b/>
          <w:sz w:val="28"/>
          <w:szCs w:val="28"/>
          <w:lang w:eastAsia="ru-RU"/>
        </w:rPr>
        <w:lastRenderedPageBreak/>
        <w:t>Обучающийся</w:t>
      </w:r>
      <w:proofErr w:type="gramEnd"/>
      <w:r w:rsidRPr="00914A0F">
        <w:rPr>
          <w:rFonts w:ascii="Times New Roman" w:eastAsia="Times New Roman" w:hAnsi="Times New Roman" w:cs="Times New Roman"/>
          <w:b/>
          <w:sz w:val="28"/>
          <w:szCs w:val="28"/>
          <w:lang w:eastAsia="ru-RU"/>
        </w:rPr>
        <w:t xml:space="preserve">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914A0F">
        <w:rPr>
          <w:rFonts w:ascii="Times New Roman" w:eastAsia="Times New Roman" w:hAnsi="Times New Roman" w:cs="Times New Roman"/>
          <w:b/>
          <w:sz w:val="28"/>
          <w:szCs w:val="28"/>
          <w:u w:val="single"/>
          <w:lang w:eastAsia="ru-RU"/>
        </w:rPr>
        <w:t>выполнить 3 задания</w:t>
      </w:r>
      <w:r w:rsidRPr="00914A0F">
        <w:rPr>
          <w:rFonts w:ascii="Times New Roman" w:eastAsia="Times New Roman" w:hAnsi="Times New Roman" w:cs="Times New Roman"/>
          <w:b/>
          <w:sz w:val="28"/>
          <w:szCs w:val="28"/>
          <w:lang w:eastAsia="ru-RU"/>
        </w:rPr>
        <w:t xml:space="preserve"> и оформить их в виде печатной работы.</w:t>
      </w:r>
    </w:p>
    <w:p w:rsidR="00270744" w:rsidRPr="00914A0F" w:rsidRDefault="00270744" w:rsidP="00270744">
      <w:pPr>
        <w:widowControl w:val="0"/>
        <w:spacing w:after="0" w:line="240" w:lineRule="auto"/>
        <w:jc w:val="both"/>
        <w:rPr>
          <w:rFonts w:ascii="Times New Roman" w:eastAsia="Times New Roman" w:hAnsi="Times New Roman" w:cs="Times New Roman"/>
          <w:sz w:val="28"/>
          <w:szCs w:val="28"/>
          <w:lang w:eastAsia="ru-RU"/>
        </w:rPr>
      </w:pPr>
    </w:p>
    <w:p w:rsidR="00270744" w:rsidRPr="00914A0F" w:rsidRDefault="00270744" w:rsidP="00270744">
      <w:pPr>
        <w:widowControl w:val="0"/>
        <w:spacing w:after="0" w:line="240" w:lineRule="auto"/>
        <w:jc w:val="both"/>
        <w:rPr>
          <w:rFonts w:ascii="Times New Roman" w:eastAsia="Times New Roman" w:hAnsi="Times New Roman" w:cs="Times New Roman"/>
          <w:i/>
          <w:sz w:val="28"/>
          <w:szCs w:val="28"/>
          <w:lang w:eastAsia="ru-RU"/>
        </w:rPr>
      </w:pPr>
      <w:r w:rsidRPr="00914A0F">
        <w:rPr>
          <w:rFonts w:ascii="Times New Roman" w:eastAsia="Times New Roman" w:hAnsi="Times New Roman" w:cs="Times New Roman"/>
          <w:sz w:val="28"/>
          <w:szCs w:val="28"/>
          <w:lang w:eastAsia="ru-RU"/>
        </w:rPr>
        <w:t>Задание 1. Выполните тестовое задание по теме: «Спортивная игра - баскетбол».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2. Заполните кроссворд по теме: «Спортивная игра - волейбол».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3.Выполните тестовое задание по теме: «Спортивная игра – настольный теннис».</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270744" w:rsidRDefault="00270744" w:rsidP="00270744">
      <w:pPr>
        <w:widowControl w:val="0"/>
        <w:spacing w:after="0" w:line="240" w:lineRule="auto"/>
        <w:jc w:val="both"/>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1. Выполните тестовое задание по теме</w:t>
      </w:r>
      <w:proofErr w:type="gramStart"/>
      <w:r w:rsidRPr="00914A0F">
        <w:rPr>
          <w:rFonts w:ascii="Times New Roman" w:eastAsia="Times New Roman" w:hAnsi="Times New Roman" w:cs="Times New Roman"/>
          <w:b/>
          <w:sz w:val="28"/>
          <w:szCs w:val="28"/>
          <w:lang w:eastAsia="ru-RU"/>
        </w:rPr>
        <w:t>:«</w:t>
      </w:r>
      <w:proofErr w:type="gramEnd"/>
      <w:r w:rsidRPr="00914A0F">
        <w:rPr>
          <w:rFonts w:ascii="Times New Roman" w:eastAsia="Times New Roman" w:hAnsi="Times New Roman" w:cs="Times New Roman"/>
          <w:b/>
          <w:sz w:val="28"/>
          <w:szCs w:val="28"/>
          <w:lang w:eastAsia="ru-RU"/>
        </w:rPr>
        <w:t>Спортивная игра - баскетбол».</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 Размеры баскетбольной площадки (м):</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26×14; б) 28×15; в) 30×16.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Ширина линий разметки баскетбольной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б) 6; в) 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Диаметр центрального круга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360; в) 380.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 30</w:t>
      </w:r>
      <w:proofErr w:type="gramStart"/>
      <w:r w:rsidRPr="00914A0F">
        <w:rPr>
          <w:rFonts w:ascii="Times New Roman" w:eastAsia="Times New Roman" w:hAnsi="Times New Roman" w:cs="Times New Roman"/>
          <w:color w:val="000000"/>
          <w:sz w:val="28"/>
          <w:szCs w:val="28"/>
          <w:lang w:eastAsia="ru-RU"/>
        </w:rPr>
        <w:t>°С</w:t>
      </w:r>
      <w:proofErr w:type="gramEnd"/>
      <w:r w:rsidRPr="00914A0F">
        <w:rPr>
          <w:rFonts w:ascii="Times New Roman" w:eastAsia="Times New Roman" w:hAnsi="Times New Roman" w:cs="Times New Roman"/>
          <w:color w:val="000000"/>
          <w:sz w:val="28"/>
          <w:szCs w:val="28"/>
          <w:lang w:eastAsia="ru-RU"/>
        </w:rPr>
        <w:t>; б) 15 – 30°С; в) 10 – 25°С.</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5.Высота баскетбольной корзины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305; в) 307.</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Окружность мяча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 – 65; б) 70 – 75; в) 75 – 78.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Размеры баскетбольного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120×180; б) 115×185; в) 105×180.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Вес мяча (г):</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600 – 620; б) 650 – 700; в) 600 – 650.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4; б) 5; в) 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Какой должна быть высота от пола до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270; б) 290; в) 275.</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Майки игроков должны быть пронумерованы:</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а) от 1 до 10; б) от 4 до 15; в) от 1 до 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В каком году появился баскетбол как игра:</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1819; б) 1899; в) 1891.</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13. Кто придумал баскетбол как игру:</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а) </w:t>
      </w:r>
      <w:proofErr w:type="spellStart"/>
      <w:r w:rsidRPr="00914A0F">
        <w:rPr>
          <w:rFonts w:ascii="Times New Roman" w:eastAsia="Times New Roman" w:hAnsi="Times New Roman" w:cs="Times New Roman"/>
          <w:color w:val="000000"/>
          <w:sz w:val="28"/>
          <w:szCs w:val="28"/>
          <w:lang w:eastAsia="ru-RU"/>
        </w:rPr>
        <w:t>Д.Формен</w:t>
      </w:r>
      <w:proofErr w:type="spellEnd"/>
      <w:r w:rsidRPr="00914A0F">
        <w:rPr>
          <w:rFonts w:ascii="Times New Roman" w:eastAsia="Times New Roman" w:hAnsi="Times New Roman" w:cs="Times New Roman"/>
          <w:color w:val="000000"/>
          <w:sz w:val="28"/>
          <w:szCs w:val="28"/>
          <w:lang w:eastAsia="ru-RU"/>
        </w:rPr>
        <w:t xml:space="preserve">; б) Д.Фрейзер; в) </w:t>
      </w:r>
      <w:proofErr w:type="spellStart"/>
      <w:r w:rsidRPr="00914A0F">
        <w:rPr>
          <w:rFonts w:ascii="Times New Roman" w:eastAsia="Times New Roman" w:hAnsi="Times New Roman" w:cs="Times New Roman"/>
          <w:color w:val="000000"/>
          <w:sz w:val="28"/>
          <w:szCs w:val="28"/>
          <w:lang w:eastAsia="ru-RU"/>
        </w:rPr>
        <w:t>Д.Нейсмит</w:t>
      </w:r>
      <w:proofErr w:type="spell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Капитан команды должен отличаться от других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другим цветом номера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иметь на майке полоску, подчеркивающую номер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иметь повязку на руке.</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Разрешается ли игрокам играть в очках или линзах?</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не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разрешается под собственную ответственность.</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2. Заполните кроссворд по теме: «Спортивная игра - волейбол».</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b/>
          <w:color w:val="000000"/>
          <w:sz w:val="28"/>
          <w:szCs w:val="28"/>
          <w:lang w:eastAsia="ru-RU"/>
        </w:rPr>
      </w:pPr>
      <w:r w:rsidRPr="00914A0F">
        <w:rPr>
          <w:rFonts w:ascii="Times New Roman" w:eastAsia="Times New Roman" w:hAnsi="Times New Roman" w:cs="Times New Roman"/>
          <w:b/>
          <w:noProof/>
          <w:color w:val="000000"/>
          <w:sz w:val="28"/>
          <w:szCs w:val="28"/>
          <w:lang w:eastAsia="ru-RU"/>
        </w:rPr>
        <w:drawing>
          <wp:inline distT="0" distB="0" distL="0" distR="0">
            <wp:extent cx="4999667" cy="4972050"/>
            <wp:effectExtent l="19050" t="0" r="0" b="0"/>
            <wp:docPr id="4" name="Рисунок 4"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6635_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9667" cy="4972050"/>
                    </a:xfrm>
                    <a:prstGeom prst="rect">
                      <a:avLst/>
                    </a:prstGeom>
                    <a:noFill/>
                    <a:ln>
                      <a:noFill/>
                    </a:ln>
                  </pic:spPr>
                </pic:pic>
              </a:graphicData>
            </a:graphic>
          </wp:inline>
        </w:drawing>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lastRenderedPageBreak/>
        <w:t>По горизонтали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Атакует с краев сетки;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914A0F">
        <w:rPr>
          <w:rFonts w:ascii="Times New Roman" w:eastAsia="Times New Roman" w:hAnsi="Times New Roman" w:cs="Times New Roman"/>
          <w:color w:val="000000"/>
          <w:sz w:val="28"/>
          <w:szCs w:val="28"/>
          <w:lang w:eastAsia="ru-RU"/>
        </w:rPr>
        <w:t>Дзюнго</w:t>
      </w:r>
      <w:proofErr w:type="spell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Мориты</w:t>
      </w:r>
      <w:proofErr w:type="spellEnd"/>
      <w:r w:rsidRPr="00914A0F">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19. определяет игру и варианты атаки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22. основной принимающий</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w:t>
      </w:r>
      <w:proofErr w:type="gramStart"/>
      <w:r w:rsidRPr="00914A0F">
        <w:rPr>
          <w:rFonts w:ascii="Times New Roman" w:eastAsia="Times New Roman" w:hAnsi="Times New Roman" w:cs="Times New Roman"/>
          <w:color w:val="000000"/>
          <w:sz w:val="28"/>
          <w:szCs w:val="28"/>
          <w:lang w:eastAsia="ru-RU"/>
        </w:rPr>
        <w:t>одной команды разрешается</w:t>
      </w:r>
      <w:proofErr w:type="gramEnd"/>
      <w:r w:rsidRPr="00914A0F">
        <w:rPr>
          <w:rFonts w:ascii="Times New Roman" w:eastAsia="Times New Roman" w:hAnsi="Times New Roman" w:cs="Times New Roman"/>
          <w:color w:val="000000"/>
          <w:sz w:val="28"/>
          <w:szCs w:val="28"/>
          <w:lang w:eastAsia="ru-RU"/>
        </w:rPr>
        <w:t xml:space="preserve"> не более трёх касаний мяча подряд (в дополнение к касанию на блоке).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t>По вертикали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w:t>
      </w:r>
      <w:proofErr w:type="gramStart"/>
      <w:r w:rsidRPr="00914A0F">
        <w:rPr>
          <w:rFonts w:ascii="Times New Roman" w:eastAsia="Times New Roman" w:hAnsi="Times New Roman" w:cs="Times New Roman"/>
          <w:color w:val="000000"/>
          <w:sz w:val="28"/>
          <w:szCs w:val="28"/>
          <w:lang w:eastAsia="ru-RU"/>
        </w:rPr>
        <w:t>в</w:t>
      </w:r>
      <w:proofErr w:type="gramEnd"/>
      <w:r w:rsidRPr="00914A0F">
        <w:rPr>
          <w:rFonts w:ascii="Times New Roman" w:eastAsia="Times New Roman" w:hAnsi="Times New Roman" w:cs="Times New Roman"/>
          <w:color w:val="000000"/>
          <w:sz w:val="28"/>
          <w:szCs w:val="28"/>
          <w:lang w:eastAsia="ru-RU"/>
        </w:rPr>
        <w:t>.. .</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Автором создания игры в волейбол считается: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w:t>
      </w:r>
      <w:proofErr w:type="gramStart"/>
      <w:r w:rsidRPr="00914A0F">
        <w:rPr>
          <w:rFonts w:ascii="Times New Roman" w:eastAsia="Times New Roman" w:hAnsi="Times New Roman" w:cs="Times New Roman"/>
          <w:color w:val="000000"/>
          <w:sz w:val="28"/>
          <w:szCs w:val="28"/>
          <w:lang w:eastAsia="ru-RU"/>
        </w:rPr>
        <w:t>Продолжительная</w:t>
      </w:r>
      <w:proofErr w:type="gram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доигровка</w:t>
      </w:r>
      <w:proofErr w:type="spellEnd"/>
      <w:r w:rsidRPr="00914A0F">
        <w:rPr>
          <w:rFonts w:ascii="Times New Roman" w:eastAsia="Times New Roman" w:hAnsi="Times New Roman" w:cs="Times New Roman"/>
          <w:color w:val="000000"/>
          <w:sz w:val="28"/>
          <w:szCs w:val="28"/>
          <w:lang w:eastAsia="ru-RU"/>
        </w:rPr>
        <w:t xml:space="preserve"> характерна для женского волейбола.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Защитный удар, выполняемый в падении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17. Самый высокий волейболист сборной России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18. Спортивная игра с мячом, схожая по правилам с волейболом, предназначенная для детей школьного возраста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21.Короткий быстрый пас нападающему в 3-ю зону, который в момент касания мяча связующим уже находится в воздухе с рукой, готовой для нанесения удара.</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3. Выполните тестовое задание по теме: «Спортивная игра – настольный теннис».</w:t>
      </w: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Длина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2,74 м; Б) 2,64 м; В) 2,52 м; Г) 2,82 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Ширина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1,525 м; Б) 1,625 м; В) 1,425 м; В) 1,5 м.</w:t>
      </w:r>
    </w:p>
    <w:p w:rsidR="00270744" w:rsidRPr="00914A0F" w:rsidRDefault="00270744" w:rsidP="00270744">
      <w:pPr>
        <w:shd w:val="clear" w:color="auto" w:fill="FFFFFF"/>
        <w:spacing w:after="0" w:line="240" w:lineRule="auto"/>
        <w:ind w:left="30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находится на высоте..</w:t>
      </w:r>
      <w:proofErr w:type="gramStart"/>
      <w:r w:rsidRPr="00914A0F">
        <w:rPr>
          <w:rFonts w:ascii="Times New Roman" w:eastAsia="Times New Roman" w:hAnsi="Times New Roman" w:cs="Times New Roman"/>
          <w:sz w:val="28"/>
          <w:szCs w:val="28"/>
          <w:lang w:eastAsia="ru-RU"/>
        </w:rPr>
        <w:t>.с</w:t>
      </w:r>
      <w:proofErr w:type="gramEnd"/>
      <w:r w:rsidRPr="00914A0F">
        <w:rPr>
          <w:rFonts w:ascii="Times New Roman" w:eastAsia="Times New Roman" w:hAnsi="Times New Roman" w:cs="Times New Roman"/>
          <w:sz w:val="28"/>
          <w:szCs w:val="28"/>
          <w:lang w:eastAsia="ru-RU"/>
        </w:rPr>
        <w:t>м от пола?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86; Б) 66; В) 76; Г) 56.</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должна быть?</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матовой, однородной, яркой;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матовой, цветной, светлой;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матовой,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глянцевой,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Верх сетки по всей длине должен находится на высоте над игровой поверхностью... </w:t>
      </w:r>
      <w:proofErr w:type="gramStart"/>
      <w:r w:rsidRPr="00914A0F">
        <w:rPr>
          <w:rFonts w:ascii="Times New Roman" w:eastAsia="Times New Roman" w:hAnsi="Times New Roman" w:cs="Times New Roman"/>
          <w:sz w:val="28"/>
          <w:szCs w:val="28"/>
          <w:lang w:eastAsia="ru-RU"/>
        </w:rPr>
        <w:t>см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15,75 см; Б) 15,25 см; В) 16,25 см; Г) 16,75 см.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Диаметр теннисного мяча..... </w:t>
      </w:r>
      <w:proofErr w:type="gramStart"/>
      <w:r w:rsidRPr="00914A0F">
        <w:rPr>
          <w:rFonts w:ascii="Times New Roman" w:eastAsia="Times New Roman" w:hAnsi="Times New Roman" w:cs="Times New Roman"/>
          <w:sz w:val="28"/>
          <w:szCs w:val="28"/>
          <w:lang w:eastAsia="ru-RU"/>
        </w:rPr>
        <w:t>мм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40 мм; Б) 35 мм; В) 45 мм; Г) 48 мм.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Масса мяча для настольного тенниса равна?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А) 2,5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Б) 3,0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В) 3,5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Г) 2,7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Соревнования по настольному теннису подразделяются </w:t>
      </w:r>
      <w:proofErr w:type="gramStart"/>
      <w:r w:rsidRPr="00914A0F">
        <w:rPr>
          <w:rFonts w:ascii="Times New Roman" w:eastAsia="Times New Roman" w:hAnsi="Times New Roman" w:cs="Times New Roman"/>
          <w:sz w:val="28"/>
          <w:szCs w:val="28"/>
          <w:lang w:eastAsia="ru-RU"/>
        </w:rPr>
        <w:t>на</w:t>
      </w:r>
      <w:proofErr w:type="gramEnd"/>
      <w:r w:rsidRPr="00914A0F">
        <w:rPr>
          <w:rFonts w:ascii="Times New Roman" w:eastAsia="Times New Roman" w:hAnsi="Times New Roman" w:cs="Times New Roman"/>
          <w:sz w:val="28"/>
          <w:szCs w:val="28"/>
          <w:lang w:eastAsia="ru-RU"/>
        </w:rPr>
        <w:t xml:space="preserve">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командно-личные;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лично-командные.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выбрать один мяч из нескольких предложенных ведущим судьей для проведения встречи;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lastRenderedPageBreak/>
        <w:t>Б) оказывать (любым способом) влияние на принятие судьей решения по результату розыгрыша;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повреждать или наносить преднамеренно удары (чем угодно) по оборудованию и любому спортивному 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действовать неуважительно (выражениями или жестами и т.д.) по отношению к зрителям, соперникам 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проводить перед началом встречи непосредственно на игровом столе разминку продолжительностью до 2 минут;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повреждать или наносить преднамеренные удары по оборудованию, а также любому спортивному или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действовать неуважительно (выражениями или жестами и т.д.) по отношению к зрителям, соперникам или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намеренно мешать (любыми действиями) проведению других встреч.</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получать советы в перерывах между партиями или во время других, разрешенных судьями остановок игры;</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длительным или несвоевременным вытиранием полотенцем;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затягивать преднамеренно игру: умышленным повреждением мяча;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выбиванием мяча за пределы игровой площадки.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обратиться к ведущему судье до начала следующего розыгрыша за разъяснениями или с просьбой;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выбиванием мяча за пределы игровой площадки;</w:t>
      </w:r>
      <w:r w:rsidRPr="00914A0F">
        <w:rPr>
          <w:rFonts w:ascii="Times New Roman" w:eastAsia="Times New Roman" w:hAnsi="Times New Roman" w:cs="Times New Roman"/>
          <w:sz w:val="28"/>
          <w:szCs w:val="28"/>
          <w:lang w:eastAsia="ru-RU"/>
        </w:rPr>
        <w:br/>
        <w:t>В) затягивать преднамеренно игру: постукиванием мяча перед подачей по столу, ракеткой;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использованием пауз (более 15 с) между розыгрышами и перерывом.</w:t>
      </w:r>
    </w:p>
    <w:p w:rsidR="00270744" w:rsidRPr="00914A0F" w:rsidRDefault="00270744" w:rsidP="00270744">
      <w:pPr>
        <w:shd w:val="clear" w:color="auto" w:fill="FFFFFF"/>
        <w:spacing w:after="0" w:line="240" w:lineRule="auto"/>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До </w:t>
      </w:r>
      <w:proofErr w:type="spellStart"/>
      <w:r w:rsidRPr="00914A0F">
        <w:rPr>
          <w:rFonts w:ascii="Times New Roman" w:eastAsia="Times New Roman" w:hAnsi="Times New Roman" w:cs="Times New Roman"/>
          <w:sz w:val="28"/>
          <w:szCs w:val="28"/>
          <w:lang w:eastAsia="ru-RU"/>
        </w:rPr>
        <w:t>скольки</w:t>
      </w:r>
      <w:proofErr w:type="spellEnd"/>
      <w:r w:rsidRPr="00914A0F">
        <w:rPr>
          <w:rFonts w:ascii="Times New Roman" w:eastAsia="Times New Roman" w:hAnsi="Times New Roman" w:cs="Times New Roman"/>
          <w:sz w:val="28"/>
          <w:szCs w:val="28"/>
          <w:lang w:eastAsia="ru-RU"/>
        </w:rPr>
        <w:t xml:space="preserve"> очков продолжается партия в настольный теннис?</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до 5</w:t>
      </w:r>
      <w:proofErr w:type="gramStart"/>
      <w:r w:rsidRPr="00914A0F">
        <w:rPr>
          <w:rFonts w:ascii="Times New Roman" w:eastAsia="Times New Roman" w:hAnsi="Times New Roman" w:cs="Times New Roman"/>
          <w:sz w:val="28"/>
          <w:szCs w:val="28"/>
          <w:lang w:eastAsia="ru-RU"/>
        </w:rPr>
        <w:t xml:space="preserve"> ;</w:t>
      </w:r>
      <w:proofErr w:type="gramEnd"/>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до 10;</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до 11.</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Какой должен быть цвет сетки?</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голубой;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зелёный;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синий.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каком году была образована Международная федерация настольного тенниса?</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1920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1926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1931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С какого возраста набирают детей в подготовительную группу для обучения настольному теннису?</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8 - 10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10 - 11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11 - 12 лет.</w:t>
      </w:r>
    </w:p>
    <w:p w:rsidR="002309D8" w:rsidRDefault="002D102D"/>
    <w:sectPr w:rsidR="002309D8" w:rsidSect="0020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40D"/>
    <w:multiLevelType w:val="hybridMultilevel"/>
    <w:tmpl w:val="B0EA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744"/>
    <w:rsid w:val="002022C6"/>
    <w:rsid w:val="00270744"/>
    <w:rsid w:val="002D102D"/>
    <w:rsid w:val="002F5D98"/>
    <w:rsid w:val="00300352"/>
    <w:rsid w:val="0083649A"/>
    <w:rsid w:val="00917DB3"/>
    <w:rsid w:val="00A663EF"/>
    <w:rsid w:val="00AC1B1B"/>
    <w:rsid w:val="00B371E2"/>
    <w:rsid w:val="00BC3DAB"/>
    <w:rsid w:val="00C863C4"/>
    <w:rsid w:val="00E6715F"/>
    <w:rsid w:val="00F4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98675">
      <w:bodyDiv w:val="1"/>
      <w:marLeft w:val="0"/>
      <w:marRight w:val="0"/>
      <w:marTop w:val="0"/>
      <w:marBottom w:val="0"/>
      <w:divBdr>
        <w:top w:val="none" w:sz="0" w:space="0" w:color="auto"/>
        <w:left w:val="none" w:sz="0" w:space="0" w:color="auto"/>
        <w:bottom w:val="none" w:sz="0" w:space="0" w:color="auto"/>
        <w:right w:val="none" w:sz="0" w:space="0" w:color="auto"/>
      </w:divBdr>
    </w:div>
    <w:div w:id="21010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1216</Words>
  <Characters>6932</Characters>
  <Application>Microsoft Office Word</Application>
  <DocSecurity>0</DocSecurity>
  <Lines>57</Lines>
  <Paragraphs>16</Paragraphs>
  <ScaleCrop>false</ScaleCrop>
  <Company>Krokoz™</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Алекс7</cp:lastModifiedBy>
  <cp:revision>7</cp:revision>
  <dcterms:created xsi:type="dcterms:W3CDTF">2019-10-03T15:40:00Z</dcterms:created>
  <dcterms:modified xsi:type="dcterms:W3CDTF">2020-03-17T07:41:00Z</dcterms:modified>
</cp:coreProperties>
</file>