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 xml:space="preserve">«АКТУАЛЬНЫЕ ПРОБЛЕМЫ ПИТАНИЯ </w:t>
      </w: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32"/>
          <w:szCs w:val="24"/>
        </w:rPr>
      </w:pPr>
      <w:r>
        <w:rPr>
          <w:rFonts w:ascii="Times New Roman" w:hAnsi="Times New Roman"/>
          <w:b/>
          <w:color w:val="000000"/>
          <w:sz w:val="32"/>
          <w:szCs w:val="24"/>
        </w:rPr>
        <w:t>СОВРЕМЕННОГО ЧЕЛОВЕКА»</w:t>
      </w: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4633" w:rsidRDefault="00F64633" w:rsidP="00F64633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8"/>
          <w:szCs w:val="24"/>
        </w:rPr>
      </w:pP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Методические разработки практических занятий</w:t>
      </w:r>
    </w:p>
    <w:p w:rsidR="00F64633" w:rsidRDefault="00F64633" w:rsidP="00F64633">
      <w:pPr>
        <w:spacing w:after="0" w:line="240" w:lineRule="auto"/>
        <w:ind w:firstLine="709"/>
        <w:jc w:val="center"/>
        <w:rPr>
          <w:rFonts w:ascii="Times New Roman" w:hAnsi="Times New Roman"/>
          <w:b/>
          <w:color w:val="000000"/>
          <w:sz w:val="24"/>
          <w:szCs w:val="24"/>
        </w:rPr>
      </w:pPr>
    </w:p>
    <w:p w:rsidR="00F64633" w:rsidRDefault="00F64633" w:rsidP="00F6463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64633" w:rsidRDefault="00F64633" w:rsidP="00F64633">
      <w:pPr>
        <w:spacing w:after="0" w:line="240" w:lineRule="auto"/>
        <w:jc w:val="center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Практическое занятие №5.</w:t>
      </w:r>
    </w:p>
    <w:p w:rsidR="00F64633" w:rsidRDefault="00CE3A11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1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. Тема: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  <w:r w:rsidR="00F64633">
        <w:rPr>
          <w:rFonts w:ascii="Times New Roman" w:hAnsi="Times New Roman"/>
          <w:sz w:val="24"/>
          <w:szCs w:val="24"/>
        </w:rPr>
        <w:t>Окислительная порча жиров. Методы определения перекисного числа в пищевых жирах.</w:t>
      </w:r>
      <w:r w:rsidR="00F64633">
        <w:rPr>
          <w:rFonts w:ascii="Times New Roman" w:hAnsi="Times New Roman"/>
          <w:sz w:val="24"/>
          <w:szCs w:val="24"/>
          <w:highlight w:val="yellow"/>
        </w:rPr>
        <w:t xml:space="preserve"> </w:t>
      </w:r>
    </w:p>
    <w:p w:rsidR="00F64633" w:rsidRDefault="00CE3A11" w:rsidP="00F64633">
      <w:pPr>
        <w:spacing w:after="0" w:line="240" w:lineRule="auto"/>
        <w:ind w:firstLine="284"/>
        <w:jc w:val="both"/>
        <w:rPr>
          <w:szCs w:val="24"/>
          <w:highlight w:val="yellow"/>
        </w:rPr>
      </w:pPr>
      <w:r>
        <w:rPr>
          <w:rFonts w:ascii="Times New Roman" w:hAnsi="Times New Roman"/>
          <w:b/>
          <w:color w:val="000000"/>
          <w:sz w:val="24"/>
          <w:szCs w:val="24"/>
        </w:rPr>
        <w:t>2</w:t>
      </w:r>
      <w:r w:rsidR="00F64633">
        <w:rPr>
          <w:rFonts w:ascii="Times New Roman" w:hAnsi="Times New Roman"/>
          <w:b/>
          <w:color w:val="000000"/>
          <w:sz w:val="24"/>
          <w:szCs w:val="24"/>
        </w:rPr>
        <w:t>. Цель:</w:t>
      </w:r>
      <w:r w:rsidR="00F64633">
        <w:rPr>
          <w:rFonts w:ascii="Times New Roman" w:hAnsi="Times New Roman"/>
          <w:color w:val="000000"/>
          <w:sz w:val="24"/>
          <w:szCs w:val="24"/>
        </w:rPr>
        <w:t xml:space="preserve"> и</w:t>
      </w:r>
      <w:r w:rsidR="00F64633">
        <w:rPr>
          <w:rFonts w:ascii="Times New Roman" w:hAnsi="Times New Roman"/>
          <w:sz w:val="24"/>
          <w:szCs w:val="24"/>
        </w:rPr>
        <w:t>зучить современное состояние учения о пищевых жирах, их классификацию, значение пищевых жиров в питании человека, показатели порчи жиров, методики определения перекисного числа в пищевых жирах. Формирование навыков определения перекисного числа в продуктах питания</w:t>
      </w:r>
      <w:r w:rsidR="00F64633">
        <w:rPr>
          <w:szCs w:val="24"/>
        </w:rPr>
        <w:t xml:space="preserve">.           </w:t>
      </w:r>
    </w:p>
    <w:p w:rsidR="00F64633" w:rsidRDefault="00CE3A11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3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Задачи: </w:t>
      </w:r>
    </w:p>
    <w:p w:rsidR="00F64633" w:rsidRDefault="00F64633" w:rsidP="00F64633">
      <w:pPr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Обучающая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закрепить знания о пищевых жирах, их классификации, значении в питании человека, </w:t>
      </w:r>
      <w:r>
        <w:rPr>
          <w:rFonts w:ascii="Times New Roman" w:hAnsi="Times New Roman"/>
          <w:sz w:val="24"/>
          <w:szCs w:val="24"/>
        </w:rPr>
        <w:t>методиках определения перекисного числа в пищевых продуктах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.  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Развивающая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сформировать навыки определения </w:t>
      </w:r>
      <w:r>
        <w:rPr>
          <w:rFonts w:ascii="Times New Roman" w:hAnsi="Times New Roman"/>
          <w:sz w:val="24"/>
          <w:szCs w:val="24"/>
        </w:rPr>
        <w:t xml:space="preserve">перекисного числа в продуктах питания.                  </w:t>
      </w:r>
    </w:p>
    <w:p w:rsidR="00F64633" w:rsidRDefault="00F64633" w:rsidP="00F6463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proofErr w:type="gramStart"/>
      <w:r>
        <w:rPr>
          <w:rFonts w:ascii="Times New Roman" w:hAnsi="Times New Roman"/>
          <w:color w:val="000000"/>
          <w:sz w:val="24"/>
          <w:szCs w:val="24"/>
          <w:lang w:eastAsia="ru-RU"/>
        </w:rPr>
        <w:t>Воспитывающая</w:t>
      </w:r>
      <w:proofErr w:type="gramEnd"/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 xml:space="preserve">воспитание понимания </w:t>
      </w:r>
      <w:r>
        <w:rPr>
          <w:rFonts w:ascii="Times New Roman" w:hAnsi="Times New Roman"/>
          <w:spacing w:val="-4"/>
          <w:sz w:val="24"/>
          <w:szCs w:val="24"/>
          <w:lang w:eastAsia="ru-RU"/>
        </w:rPr>
        <w:t xml:space="preserve">значимости качественного и безопасного 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питания для </w:t>
      </w:r>
      <w:r>
        <w:rPr>
          <w:rFonts w:ascii="Times New Roman" w:hAnsi="Times New Roman"/>
          <w:sz w:val="24"/>
          <w:szCs w:val="24"/>
          <w:lang w:eastAsia="ru-RU"/>
        </w:rPr>
        <w:t>укрепления здоровья и обеспечения высокой работоспособности населения.</w:t>
      </w:r>
    </w:p>
    <w:p w:rsidR="00F64633" w:rsidRDefault="00CE3A11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4.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Вопросы для рассмотрения: 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1. Гигиенические требования к технологическому процессу получения различных видов пищевых жиров. </w:t>
      </w:r>
    </w:p>
    <w:p w:rsidR="00F64633" w:rsidRDefault="00F64633" w:rsidP="00F64633">
      <w:pPr>
        <w:spacing w:after="0" w:line="240" w:lineRule="auto"/>
        <w:ind w:firstLine="284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2. Гигиенические требования к качеству пищевых жиров. Методы определения кислотного числа в пищевых жирах. </w:t>
      </w:r>
    </w:p>
    <w:p w:rsidR="00F64633" w:rsidRDefault="00CE3A11" w:rsidP="00F64633">
      <w:pPr>
        <w:spacing w:after="0" w:line="240" w:lineRule="auto"/>
        <w:ind w:firstLine="284"/>
        <w:jc w:val="both"/>
        <w:rPr>
          <w:rFonts w:ascii="Times New Roman" w:hAnsi="Times New Roman"/>
          <w:snapToGrid w:val="0"/>
          <w:sz w:val="24"/>
          <w:szCs w:val="24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5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proofErr w:type="gramStart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Основные понятия темы: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пищевые жиры, </w:t>
      </w:r>
      <w:r w:rsidR="00F64633">
        <w:rPr>
          <w:rFonts w:ascii="Times New Roman" w:hAnsi="Times New Roman"/>
          <w:sz w:val="24"/>
          <w:szCs w:val="24"/>
        </w:rPr>
        <w:t xml:space="preserve">классификация  пищевых жиров, животные жиры, растительные жиры, комбинированные жиры, пищевая  и  биологическая ценность различных жиров, жировые продукты (майонез, порошкообразные жиры), порча жиров (окисление, </w:t>
      </w:r>
      <w:proofErr w:type="spellStart"/>
      <w:r w:rsidR="00F64633">
        <w:rPr>
          <w:rFonts w:ascii="Times New Roman" w:hAnsi="Times New Roman"/>
          <w:sz w:val="24"/>
          <w:szCs w:val="24"/>
        </w:rPr>
        <w:t>прогоркание</w:t>
      </w:r>
      <w:proofErr w:type="spellEnd"/>
      <w:r w:rsidR="00F64633">
        <w:rPr>
          <w:rFonts w:ascii="Times New Roman" w:hAnsi="Times New Roman"/>
          <w:sz w:val="24"/>
          <w:szCs w:val="24"/>
        </w:rPr>
        <w:t xml:space="preserve">), изменения, наступающие в жирах при их перегревании, </w:t>
      </w:r>
      <w:r w:rsidR="00F64633">
        <w:rPr>
          <w:rFonts w:ascii="Times New Roman" w:hAnsi="Times New Roman"/>
          <w:snapToGrid w:val="0"/>
          <w:sz w:val="24"/>
          <w:szCs w:val="24"/>
        </w:rPr>
        <w:t xml:space="preserve">органолептические, физико-химические, микробиологические  показатели жиров, </w:t>
      </w:r>
      <w:r w:rsidR="00F64633">
        <w:rPr>
          <w:rFonts w:ascii="Times New Roman" w:hAnsi="Times New Roman"/>
          <w:sz w:val="24"/>
          <w:szCs w:val="24"/>
        </w:rPr>
        <w:t>перекисное число</w:t>
      </w:r>
      <w:r w:rsidR="00F64633">
        <w:rPr>
          <w:rFonts w:ascii="Times New Roman" w:hAnsi="Times New Roman"/>
          <w:snapToGrid w:val="0"/>
          <w:sz w:val="24"/>
          <w:szCs w:val="24"/>
        </w:rPr>
        <w:t>.</w:t>
      </w:r>
      <w:proofErr w:type="gramEnd"/>
    </w:p>
    <w:p w:rsidR="00CE3A11" w:rsidRDefault="00CE3A11" w:rsidP="00CE3A11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6. Рекомендуемая литература: </w:t>
      </w:r>
    </w:p>
    <w:p w:rsidR="00CE3A11" w:rsidRDefault="00CE3A11" w:rsidP="00CE3A11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питания: учеб. / А.А. Королев. – М.: Академия, 2014. – 544 с.</w:t>
      </w:r>
    </w:p>
    <w:p w:rsidR="00CE3A11" w:rsidRDefault="00CE3A11" w:rsidP="00CE3A11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Королев А.А. Гигиена питания [Электронный ресурс]: учебник / А. А. Королев. - М.: ГЭОТАР-Медиа, 2016. – 624 с.</w:t>
      </w:r>
    </w:p>
    <w:p w:rsidR="00263CA0" w:rsidRDefault="00CE3A11" w:rsidP="00263CA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Руководство к практическим занятиям по гигиене питания: учеб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.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proofErr w:type="gramStart"/>
      <w:r>
        <w:rPr>
          <w:rFonts w:ascii="Times New Roman" w:hAnsi="Times New Roman"/>
          <w:color w:val="000000"/>
          <w:sz w:val="24"/>
          <w:szCs w:val="24"/>
        </w:rPr>
        <w:t>п</w:t>
      </w:r>
      <w:proofErr w:type="gramEnd"/>
      <w:r>
        <w:rPr>
          <w:rFonts w:ascii="Times New Roman" w:hAnsi="Times New Roman"/>
          <w:color w:val="000000"/>
          <w:sz w:val="24"/>
          <w:szCs w:val="24"/>
        </w:rPr>
        <w:t xml:space="preserve">особие для вузов/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Н.П.,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 А.Г., Фатеева Т.А., Володина Е.А., Тришина С.П., Чистякова Е.С.; под общ. ред. Н.П.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Сетко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 xml:space="preserve">. – Оренбург: </w:t>
      </w:r>
      <w:proofErr w:type="spellStart"/>
      <w:r>
        <w:rPr>
          <w:rFonts w:ascii="Times New Roman" w:hAnsi="Times New Roman"/>
          <w:color w:val="000000"/>
          <w:sz w:val="24"/>
          <w:szCs w:val="24"/>
        </w:rPr>
        <w:t>ОрГМА</w:t>
      </w:r>
      <w:proofErr w:type="spellEnd"/>
      <w:r>
        <w:rPr>
          <w:rFonts w:ascii="Times New Roman" w:hAnsi="Times New Roman"/>
          <w:color w:val="000000"/>
          <w:sz w:val="24"/>
          <w:szCs w:val="24"/>
        </w:rPr>
        <w:t>, 2011. – 652 с.</w:t>
      </w:r>
    </w:p>
    <w:p w:rsidR="00F64633" w:rsidRPr="00263CA0" w:rsidRDefault="00F64633" w:rsidP="00263CA0">
      <w:pPr>
        <w:pStyle w:val="a5"/>
        <w:numPr>
          <w:ilvl w:val="0"/>
          <w:numId w:val="3"/>
        </w:numPr>
        <w:tabs>
          <w:tab w:val="left" w:pos="284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3CA0">
        <w:rPr>
          <w:rFonts w:ascii="Times New Roman" w:hAnsi="Times New Roman"/>
          <w:sz w:val="24"/>
          <w:szCs w:val="24"/>
        </w:rPr>
        <w:t>Нормативная документация:</w:t>
      </w:r>
    </w:p>
    <w:p w:rsidR="00F64633" w:rsidRPr="00263CA0" w:rsidRDefault="00F64633" w:rsidP="00263CA0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z w:val="24"/>
          <w:szCs w:val="24"/>
        </w:rPr>
      </w:pPr>
      <w:r w:rsidRPr="00263CA0">
        <w:rPr>
          <w:rFonts w:ascii="Times New Roman" w:hAnsi="Times New Roman"/>
          <w:color w:val="000000"/>
          <w:spacing w:val="2"/>
          <w:sz w:val="24"/>
          <w:szCs w:val="24"/>
        </w:rPr>
        <w:t>«О    качестве     и    безопасности    пищевых    продуктов». Федеральный закон от 02.01.00 № 29-ФЗ</w:t>
      </w:r>
      <w:r w:rsidRPr="00263CA0">
        <w:rPr>
          <w:rFonts w:ascii="Times New Roman" w:hAnsi="Times New Roman"/>
          <w:color w:val="000000"/>
          <w:sz w:val="24"/>
          <w:szCs w:val="24"/>
        </w:rPr>
        <w:t>.</w:t>
      </w:r>
    </w:p>
    <w:p w:rsidR="00F64633" w:rsidRDefault="00F64633" w:rsidP="00263CA0">
      <w:pPr>
        <w:pStyle w:val="ConsPlusNormal"/>
        <w:numPr>
          <w:ilvl w:val="0"/>
          <w:numId w:val="7"/>
        </w:numPr>
        <w:jc w:val="both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«Технический регламент на масложировую продукцию». Технический регламент Таможенного союза </w:t>
      </w:r>
      <w:proofErr w:type="gramStart"/>
      <w:r>
        <w:rPr>
          <w:rFonts w:ascii="Times New Roman" w:hAnsi="Times New Roman" w:cs="Times New Roman"/>
          <w:bCs/>
          <w:sz w:val="24"/>
          <w:szCs w:val="24"/>
        </w:rPr>
        <w:t>ТР</w:t>
      </w:r>
      <w:proofErr w:type="gramEnd"/>
      <w:r>
        <w:rPr>
          <w:rFonts w:ascii="Times New Roman" w:hAnsi="Times New Roman" w:cs="Times New Roman"/>
          <w:bCs/>
          <w:sz w:val="24"/>
          <w:szCs w:val="24"/>
        </w:rPr>
        <w:t xml:space="preserve"> ТС 024/2011.</w:t>
      </w:r>
    </w:p>
    <w:p w:rsidR="00F64633" w:rsidRPr="00263CA0" w:rsidRDefault="00F64633" w:rsidP="00263CA0">
      <w:pPr>
        <w:pStyle w:val="a5"/>
        <w:numPr>
          <w:ilvl w:val="0"/>
          <w:numId w:val="7"/>
        </w:numPr>
        <w:shd w:val="clear" w:color="auto" w:fill="FFFFFF"/>
        <w:tabs>
          <w:tab w:val="left" w:pos="0"/>
        </w:tabs>
        <w:spacing w:after="0" w:line="240" w:lineRule="auto"/>
        <w:jc w:val="both"/>
        <w:rPr>
          <w:rFonts w:ascii="Times New Roman" w:hAnsi="Times New Roman"/>
          <w:color w:val="000000"/>
          <w:spacing w:val="-3"/>
          <w:sz w:val="24"/>
          <w:szCs w:val="24"/>
        </w:rPr>
      </w:pPr>
      <w:r w:rsidRPr="00263CA0">
        <w:rPr>
          <w:rFonts w:ascii="Times New Roman" w:hAnsi="Times New Roman"/>
          <w:bCs/>
          <w:sz w:val="24"/>
          <w:szCs w:val="24"/>
        </w:rPr>
        <w:t xml:space="preserve">«О безопасности пищевой продукции». Технический регламент Таможенного союза </w:t>
      </w:r>
      <w:proofErr w:type="gramStart"/>
      <w:r w:rsidRPr="00263CA0">
        <w:rPr>
          <w:rFonts w:ascii="Times New Roman" w:hAnsi="Times New Roman"/>
          <w:bCs/>
          <w:sz w:val="24"/>
          <w:szCs w:val="24"/>
        </w:rPr>
        <w:t>ТР</w:t>
      </w:r>
      <w:proofErr w:type="gramEnd"/>
      <w:r w:rsidRPr="00263CA0">
        <w:rPr>
          <w:rFonts w:ascii="Times New Roman" w:hAnsi="Times New Roman"/>
          <w:bCs/>
          <w:sz w:val="24"/>
          <w:szCs w:val="24"/>
        </w:rPr>
        <w:t xml:space="preserve"> ТС 021/2011  (</w:t>
      </w:r>
      <w:r w:rsidRPr="00263CA0">
        <w:rPr>
          <w:rFonts w:ascii="Times New Roman" w:hAnsi="Times New Roman"/>
          <w:sz w:val="24"/>
          <w:szCs w:val="24"/>
        </w:rPr>
        <w:t xml:space="preserve">утв. решением Комиссии Таможенного союза от 9 декабря </w:t>
      </w:r>
      <w:smartTag w:uri="urn:schemas-microsoft-com:office:smarttags" w:element="metricconverter">
        <w:smartTagPr>
          <w:attr w:name="ProductID" w:val="2011 г"/>
        </w:smartTagPr>
        <w:r w:rsidRPr="00263CA0">
          <w:rPr>
            <w:rFonts w:ascii="Times New Roman" w:hAnsi="Times New Roman"/>
            <w:sz w:val="24"/>
            <w:szCs w:val="24"/>
          </w:rPr>
          <w:t>2011 г</w:t>
        </w:r>
      </w:smartTag>
      <w:r w:rsidRPr="00263CA0">
        <w:rPr>
          <w:rFonts w:ascii="Times New Roman" w:hAnsi="Times New Roman"/>
          <w:sz w:val="24"/>
          <w:szCs w:val="24"/>
        </w:rPr>
        <w:t>. № 880).</w:t>
      </w:r>
    </w:p>
    <w:p w:rsidR="00F64633" w:rsidRPr="00263CA0" w:rsidRDefault="00F64633" w:rsidP="00263C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A0">
        <w:rPr>
          <w:rFonts w:ascii="Times New Roman" w:hAnsi="Times New Roman"/>
          <w:sz w:val="24"/>
          <w:szCs w:val="24"/>
        </w:rPr>
        <w:t>ГОСТ 26593-85 «Масла растительные. Метод измерения перекисного числа».</w:t>
      </w:r>
    </w:p>
    <w:p w:rsidR="00F64633" w:rsidRPr="00263CA0" w:rsidRDefault="00F64633" w:rsidP="00263C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A0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263CA0">
        <w:rPr>
          <w:rFonts w:ascii="Times New Roman" w:hAnsi="Times New Roman"/>
          <w:sz w:val="24"/>
          <w:szCs w:val="24"/>
        </w:rPr>
        <w:t>Р</w:t>
      </w:r>
      <w:proofErr w:type="gramEnd"/>
      <w:r w:rsidRPr="00263CA0">
        <w:rPr>
          <w:rFonts w:ascii="Times New Roman" w:hAnsi="Times New Roman"/>
          <w:sz w:val="24"/>
          <w:szCs w:val="24"/>
        </w:rPr>
        <w:t xml:space="preserve"> 51487-99 «Масла растительные и жиры животные. Метод определения перекисного числа».</w:t>
      </w:r>
    </w:p>
    <w:p w:rsidR="00F64633" w:rsidRDefault="00F64633" w:rsidP="00263CA0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bookmarkStart w:id="0" w:name="_GoBack"/>
      <w:r w:rsidRPr="00263CA0">
        <w:rPr>
          <w:rFonts w:ascii="Times New Roman" w:hAnsi="Times New Roman"/>
          <w:sz w:val="24"/>
          <w:szCs w:val="24"/>
        </w:rPr>
        <w:t xml:space="preserve">ГОСТ </w:t>
      </w:r>
      <w:r w:rsidR="00EB3BEF">
        <w:rPr>
          <w:rFonts w:ascii="Times New Roman" w:hAnsi="Times New Roman"/>
          <w:sz w:val="24"/>
          <w:szCs w:val="24"/>
        </w:rPr>
        <w:t xml:space="preserve"> 1129-2013</w:t>
      </w:r>
      <w:r w:rsidRPr="00263CA0">
        <w:rPr>
          <w:rFonts w:ascii="Times New Roman" w:hAnsi="Times New Roman"/>
          <w:sz w:val="24"/>
          <w:szCs w:val="24"/>
        </w:rPr>
        <w:t xml:space="preserve"> «Масло подсолнечное. Технические условия».</w:t>
      </w:r>
    </w:p>
    <w:p w:rsidR="00EB3BEF" w:rsidRPr="00EB3BEF" w:rsidRDefault="00F64633" w:rsidP="00EB3BEF">
      <w:pPr>
        <w:pStyle w:val="a5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A0">
        <w:rPr>
          <w:rFonts w:ascii="Times New Roman" w:hAnsi="Times New Roman"/>
          <w:sz w:val="24"/>
          <w:szCs w:val="24"/>
        </w:rPr>
        <w:t xml:space="preserve">ГОСТ </w:t>
      </w:r>
      <w:proofErr w:type="gramStart"/>
      <w:r w:rsidRPr="00263CA0">
        <w:rPr>
          <w:rFonts w:ascii="Times New Roman" w:hAnsi="Times New Roman"/>
          <w:sz w:val="24"/>
          <w:szCs w:val="24"/>
        </w:rPr>
        <w:t>Р</w:t>
      </w:r>
      <w:proofErr w:type="gramEnd"/>
      <w:r w:rsidRPr="00263CA0">
        <w:rPr>
          <w:rFonts w:ascii="Times New Roman" w:hAnsi="Times New Roman"/>
          <w:sz w:val="24"/>
          <w:szCs w:val="24"/>
        </w:rPr>
        <w:t xml:space="preserve"> </w:t>
      </w:r>
      <w:r w:rsidR="00EB3BEF">
        <w:rPr>
          <w:rFonts w:ascii="Times New Roman" w:hAnsi="Times New Roman"/>
          <w:sz w:val="24"/>
          <w:szCs w:val="24"/>
        </w:rPr>
        <w:t>32261</w:t>
      </w:r>
      <w:r w:rsidRPr="00263CA0">
        <w:rPr>
          <w:rFonts w:ascii="Times New Roman" w:hAnsi="Times New Roman"/>
          <w:sz w:val="24"/>
          <w:szCs w:val="24"/>
        </w:rPr>
        <w:t>-2</w:t>
      </w:r>
      <w:r w:rsidR="00EB3BEF">
        <w:rPr>
          <w:rFonts w:ascii="Times New Roman" w:hAnsi="Times New Roman"/>
          <w:sz w:val="24"/>
          <w:szCs w:val="24"/>
        </w:rPr>
        <w:t>013</w:t>
      </w:r>
      <w:r w:rsidRPr="00263CA0">
        <w:rPr>
          <w:rFonts w:ascii="Times New Roman" w:hAnsi="Times New Roman"/>
          <w:sz w:val="24"/>
          <w:szCs w:val="24"/>
        </w:rPr>
        <w:t xml:space="preserve"> «Масло сливочное. Технические условия».</w:t>
      </w:r>
    </w:p>
    <w:bookmarkEnd w:id="0"/>
    <w:p w:rsidR="00F64633" w:rsidRPr="00263CA0" w:rsidRDefault="00F64633" w:rsidP="00263CA0">
      <w:pPr>
        <w:pStyle w:val="a5"/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263CA0">
        <w:rPr>
          <w:rFonts w:ascii="Times New Roman" w:hAnsi="Times New Roman"/>
          <w:sz w:val="24"/>
          <w:szCs w:val="24"/>
        </w:rPr>
        <w:lastRenderedPageBreak/>
        <w:t>Лекции кафедры.</w:t>
      </w:r>
    </w:p>
    <w:p w:rsidR="00F64633" w:rsidRDefault="00CE3A11" w:rsidP="00F64633">
      <w:pPr>
        <w:spacing w:after="0" w:line="240" w:lineRule="auto"/>
        <w:ind w:firstLine="284"/>
        <w:jc w:val="both"/>
        <w:rPr>
          <w:rFonts w:ascii="Times New Roman" w:hAnsi="Times New Roman"/>
          <w:i/>
          <w:color w:val="000000"/>
          <w:spacing w:val="-4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7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</w:t>
      </w:r>
      <w:proofErr w:type="spellStart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Хронокарта</w:t>
      </w:r>
      <w:proofErr w:type="spellEnd"/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 занятия.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W w:w="0" w:type="auto"/>
        <w:jc w:val="center"/>
        <w:tblInd w:w="-114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624"/>
        <w:gridCol w:w="6379"/>
        <w:gridCol w:w="1897"/>
      </w:tblGrid>
      <w:tr w:rsidR="00166359" w:rsidTr="00166359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№</w:t>
            </w:r>
          </w:p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Этапы и содержание занятия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Используемые методы (в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т.ч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., интерактивные)</w:t>
            </w:r>
          </w:p>
        </w:tc>
      </w:tr>
      <w:tr w:rsidR="00166359" w:rsidTr="00166359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</w:t>
            </w:r>
          </w:p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1.1 </w:t>
            </w:r>
          </w:p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1.2 </w:t>
            </w:r>
          </w:p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1.3</w:t>
            </w:r>
          </w:p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1.4 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Организационный момент. </w:t>
            </w:r>
          </w:p>
          <w:p w:rsidR="00166359" w:rsidRDefault="00166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Объявление темы, цели занятия.</w:t>
            </w:r>
          </w:p>
          <w:p w:rsidR="00166359" w:rsidRDefault="00166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Оценка готовности аудитории, оборудования и студентов.</w:t>
            </w:r>
          </w:p>
          <w:p w:rsidR="00166359" w:rsidRDefault="00166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Обсуждение вопросов, возникших у студентов при подготовке к занятию.</w:t>
            </w:r>
          </w:p>
          <w:p w:rsidR="00166359" w:rsidRDefault="00166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Краткая характеристика этапов и содержания работы студентов на занятии.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</w:tc>
      </w:tr>
      <w:tr w:rsidR="00166359" w:rsidTr="00166359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both"/>
              <w:rPr>
                <w:rFonts w:ascii="Times New Roman" w:hAnsi="Times New Roman"/>
                <w:i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Входной контроль знаний, умений и навыков студентов:  тестовый контроль или письменный контроль по основным понятиям, классификациям по теме занятия.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Письменная работа</w:t>
            </w:r>
          </w:p>
        </w:tc>
      </w:tr>
      <w:tr w:rsidR="00166359" w:rsidTr="00166359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Теоретический разбор материала:</w:t>
            </w:r>
          </w:p>
          <w:p w:rsidR="00166359" w:rsidRDefault="00166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студенты отвечают на вопросы для рассмотрения по теме занятия.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Фронтальный опрос</w:t>
            </w:r>
          </w:p>
        </w:tc>
      </w:tr>
      <w:tr w:rsidR="00166359" w:rsidTr="00166359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Знакомство с нормативной документацией по теме занятия.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Работа с книгой</w:t>
            </w:r>
          </w:p>
        </w:tc>
      </w:tr>
      <w:tr w:rsidR="00166359" w:rsidTr="00166359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Отработка практических умений и навыков.</w:t>
            </w:r>
          </w:p>
          <w:p w:rsidR="00166359" w:rsidRDefault="00166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u w:val="single"/>
                <w:lang w:eastAsia="ru-RU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Освоение методик  определения кислотного числа в жирах.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Наглядные</w:t>
            </w:r>
          </w:p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Практические </w:t>
            </w:r>
          </w:p>
        </w:tc>
      </w:tr>
      <w:tr w:rsidR="00166359" w:rsidTr="00166359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Заключительная часть занятия:</w:t>
            </w:r>
          </w:p>
          <w:p w:rsidR="00166359" w:rsidRDefault="00166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Обобщение, выводы по теме.</w:t>
            </w:r>
          </w:p>
          <w:p w:rsidR="00166359" w:rsidRDefault="00166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Контроль качества формируемых компетенций (их элементов) студентов по теме занятия: проверка оформления в рабочих тетрадях протоколов практической работы, правильности проведения расчетов, формулировки заключения и предлагаемых рекомендаций. 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 xml:space="preserve">Словесные </w:t>
            </w:r>
          </w:p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166359" w:rsidTr="00166359">
        <w:trPr>
          <w:jc w:val="center"/>
        </w:trPr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63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6359" w:rsidRDefault="00166359">
            <w:pPr>
              <w:spacing w:after="0" w:line="240" w:lineRule="auto"/>
              <w:jc w:val="both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  <w:t>Итого, включая пять перерывов по 5 мин.</w:t>
            </w:r>
          </w:p>
        </w:tc>
        <w:tc>
          <w:tcPr>
            <w:tcW w:w="189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6359" w:rsidRDefault="00166359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4"/>
                <w:szCs w:val="24"/>
                <w:lang w:eastAsia="ru-RU"/>
              </w:rPr>
            </w:pPr>
          </w:p>
        </w:tc>
      </w:tr>
    </w:tbl>
    <w:p w:rsidR="00F64633" w:rsidRDefault="00F64633" w:rsidP="00F64633">
      <w:pPr>
        <w:spacing w:after="0" w:line="240" w:lineRule="auto"/>
        <w:ind w:firstLine="709"/>
        <w:jc w:val="both"/>
        <w:rPr>
          <w:rFonts w:ascii="Times New Roman" w:hAnsi="Times New Roman"/>
          <w:i/>
          <w:color w:val="000000"/>
          <w:sz w:val="24"/>
          <w:szCs w:val="24"/>
          <w:highlight w:val="yellow"/>
          <w:lang w:eastAsia="ru-RU"/>
        </w:rPr>
      </w:pPr>
    </w:p>
    <w:p w:rsidR="00F64633" w:rsidRDefault="00CE3A11" w:rsidP="00F64633">
      <w:pPr>
        <w:spacing w:after="0" w:line="240" w:lineRule="auto"/>
        <w:ind w:firstLine="284"/>
        <w:jc w:val="both"/>
        <w:rPr>
          <w:rFonts w:ascii="Times New Roman" w:hAnsi="Times New Roman"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8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>. Форма организации занятия:</w:t>
      </w:r>
      <w:r w:rsidR="00F64633">
        <w:rPr>
          <w:rFonts w:ascii="Times New Roman" w:hAnsi="Times New Roman"/>
          <w:color w:val="000000"/>
          <w:sz w:val="24"/>
          <w:szCs w:val="24"/>
          <w:lang w:eastAsia="ru-RU"/>
        </w:rPr>
        <w:t xml:space="preserve"> обучающий практикум. </w:t>
      </w:r>
    </w:p>
    <w:p w:rsidR="00F64633" w:rsidRDefault="00CE3A11" w:rsidP="00F64633">
      <w:pPr>
        <w:spacing w:after="0" w:line="240" w:lineRule="auto"/>
        <w:ind w:firstLine="284"/>
        <w:jc w:val="both"/>
        <w:rPr>
          <w:rFonts w:ascii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hAnsi="Times New Roman"/>
          <w:b/>
          <w:color w:val="000000"/>
          <w:sz w:val="24"/>
          <w:szCs w:val="24"/>
          <w:lang w:eastAsia="ru-RU"/>
        </w:rPr>
        <w:t>9</w:t>
      </w:r>
      <w:r w:rsidR="00F64633">
        <w:rPr>
          <w:rFonts w:ascii="Times New Roman" w:hAnsi="Times New Roman"/>
          <w:b/>
          <w:color w:val="000000"/>
          <w:sz w:val="24"/>
          <w:szCs w:val="24"/>
          <w:lang w:eastAsia="ru-RU"/>
        </w:rPr>
        <w:t xml:space="preserve">. Средства обучения: </w:t>
      </w:r>
    </w:p>
    <w:p w:rsidR="00F64633" w:rsidRDefault="00F64633" w:rsidP="00F6463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дидактические (таблицы, схемы, нормативная документация).</w:t>
      </w:r>
    </w:p>
    <w:p w:rsidR="00F64633" w:rsidRDefault="00F64633" w:rsidP="00F64633">
      <w:pPr>
        <w:pStyle w:val="a5"/>
        <w:numPr>
          <w:ilvl w:val="0"/>
          <w:numId w:val="2"/>
        </w:numPr>
        <w:tabs>
          <w:tab w:val="left" w:pos="284"/>
        </w:tabs>
        <w:spacing w:after="0" w:line="240" w:lineRule="auto"/>
        <w:ind w:left="0" w:firstLine="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 xml:space="preserve">материально-технические (мел, доска, калькулятор, продукты, лабораторная посуда, реактивы). </w:t>
      </w:r>
    </w:p>
    <w:p w:rsidR="00F64633" w:rsidRDefault="00F64633" w:rsidP="00F6463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p w:rsidR="00F64633" w:rsidRDefault="00F64633" w:rsidP="00F64633">
      <w:pPr>
        <w:pStyle w:val="a5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  <w:highlight w:val="yellow"/>
        </w:rPr>
      </w:pPr>
    </w:p>
    <w:sectPr w:rsidR="00F646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D06131"/>
    <w:multiLevelType w:val="hybridMultilevel"/>
    <w:tmpl w:val="B5F059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A6A61A8"/>
    <w:multiLevelType w:val="hybridMultilevel"/>
    <w:tmpl w:val="515CB7EE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E4F2D2C8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b/>
        <w:i w:val="0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0B84EE8"/>
    <w:multiLevelType w:val="hybridMultilevel"/>
    <w:tmpl w:val="D7D226EA"/>
    <w:lvl w:ilvl="0" w:tplc="E3A850DC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32AF21BB"/>
    <w:multiLevelType w:val="hybridMultilevel"/>
    <w:tmpl w:val="08AC2DF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2BB7822"/>
    <w:multiLevelType w:val="hybridMultilevel"/>
    <w:tmpl w:val="E0E671A6"/>
    <w:lvl w:ilvl="0" w:tplc="42A8AF92">
      <w:start w:val="1"/>
      <w:numFmt w:val="decimal"/>
      <w:lvlText w:val="%1."/>
      <w:lvlJc w:val="left"/>
      <w:pPr>
        <w:ind w:left="1069" w:hanging="360"/>
      </w:p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3C817385"/>
    <w:multiLevelType w:val="hybridMultilevel"/>
    <w:tmpl w:val="161C74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  <w:num w:numId="3">
    <w:abstractNumId w:val="3"/>
  </w:num>
  <w:num w:numId="4">
    <w:abstractNumId w:val="1"/>
  </w:num>
  <w:num w:numId="5">
    <w:abstractNumId w:val="3"/>
  </w:num>
  <w:num w:numId="6">
    <w:abstractNumId w:val="0"/>
  </w:num>
  <w:num w:numId="7">
    <w:abstractNumId w:val="2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C3956"/>
    <w:rsid w:val="00166359"/>
    <w:rsid w:val="00263CA0"/>
    <w:rsid w:val="00293B78"/>
    <w:rsid w:val="00652AD1"/>
    <w:rsid w:val="00790E74"/>
    <w:rsid w:val="00CE3A11"/>
    <w:rsid w:val="00EB3BEF"/>
    <w:rsid w:val="00F64633"/>
    <w:rsid w:val="00FC39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3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3B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63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4633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64633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6463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6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4633"/>
    <w:rPr>
      <w:rFonts w:ascii="Calibri" w:eastAsia="Times New Roman" w:hAnsi="Calibri" w:cs="Times New Roman"/>
    </w:rPr>
  </w:style>
  <w:style w:type="paragraph" w:styleId="1">
    <w:name w:val="heading 1"/>
    <w:basedOn w:val="a"/>
    <w:link w:val="10"/>
    <w:uiPriority w:val="9"/>
    <w:qFormat/>
    <w:rsid w:val="00EB3BEF"/>
    <w:pPr>
      <w:spacing w:before="100" w:beforeAutospacing="1" w:after="100" w:afterAutospacing="1" w:line="240" w:lineRule="auto"/>
      <w:outlineLvl w:val="0"/>
    </w:pPr>
    <w:rPr>
      <w:rFonts w:ascii="Times New Roman" w:hAnsi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semiHidden/>
    <w:unhideWhenUsed/>
    <w:rsid w:val="00F64633"/>
    <w:pPr>
      <w:spacing w:after="120" w:line="240" w:lineRule="auto"/>
    </w:pPr>
    <w:rPr>
      <w:rFonts w:ascii="Times New Roman" w:eastAsia="Calibri" w:hAnsi="Times New Roman"/>
      <w:sz w:val="24"/>
      <w:szCs w:val="24"/>
    </w:rPr>
  </w:style>
  <w:style w:type="character" w:customStyle="1" w:styleId="a4">
    <w:name w:val="Основной текст Знак"/>
    <w:basedOn w:val="a0"/>
    <w:link w:val="a3"/>
    <w:uiPriority w:val="99"/>
    <w:semiHidden/>
    <w:rsid w:val="00F64633"/>
    <w:rPr>
      <w:rFonts w:ascii="Times New Roman" w:eastAsia="Calibri" w:hAnsi="Times New Roman" w:cs="Times New Roman"/>
      <w:sz w:val="24"/>
      <w:szCs w:val="24"/>
    </w:rPr>
  </w:style>
  <w:style w:type="paragraph" w:styleId="a5">
    <w:name w:val="List Paragraph"/>
    <w:basedOn w:val="a"/>
    <w:qFormat/>
    <w:rsid w:val="00F64633"/>
    <w:pPr>
      <w:ind w:left="720"/>
      <w:contextualSpacing/>
    </w:pPr>
    <w:rPr>
      <w:lang w:eastAsia="ru-RU"/>
    </w:rPr>
  </w:style>
  <w:style w:type="paragraph" w:customStyle="1" w:styleId="21">
    <w:name w:val="Основной текст 21"/>
    <w:basedOn w:val="a"/>
    <w:rsid w:val="00F64633"/>
    <w:pPr>
      <w:overflowPunct w:val="0"/>
      <w:autoSpaceDE w:val="0"/>
      <w:autoSpaceDN w:val="0"/>
      <w:adjustRightInd w:val="0"/>
      <w:spacing w:after="0" w:line="240" w:lineRule="auto"/>
      <w:ind w:firstLine="317"/>
      <w:jc w:val="both"/>
    </w:pPr>
    <w:rPr>
      <w:rFonts w:ascii="Times New Roman" w:hAnsi="Times New Roman"/>
      <w:sz w:val="24"/>
      <w:szCs w:val="20"/>
      <w:lang w:eastAsia="ru-RU"/>
    </w:rPr>
  </w:style>
  <w:style w:type="paragraph" w:customStyle="1" w:styleId="ConsPlusNormal">
    <w:name w:val="ConsPlusNormal"/>
    <w:rsid w:val="00F6463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EB3BE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3792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783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7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611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062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626</Words>
  <Characters>3572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Стив</dc:creator>
  <cp:keywords/>
  <dc:description/>
  <cp:lastModifiedBy>Стив</cp:lastModifiedBy>
  <cp:revision>9</cp:revision>
  <dcterms:created xsi:type="dcterms:W3CDTF">2018-03-24T07:37:00Z</dcterms:created>
  <dcterms:modified xsi:type="dcterms:W3CDTF">2018-03-24T09:42:00Z</dcterms:modified>
</cp:coreProperties>
</file>