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4BF9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ЗАНЯТИЕ 2</w:t>
      </w:r>
    </w:p>
    <w:p>
      <w:pPr>
        <w:spacing w:lineRule="auto" w:line="360" w:beforeAutospacing="0" w:afterAutospacing="0"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>Тема 3.2:</w:t>
      </w:r>
      <w:r>
        <w:rPr>
          <w:b w:val="1"/>
          <w:caps w:val="1"/>
          <w:sz w:val="28"/>
        </w:rPr>
        <w:t xml:space="preserve"> «</w:t>
      </w:r>
      <w:r>
        <w:rPr>
          <w:b w:val="1"/>
          <w:sz w:val="28"/>
        </w:rPr>
        <w:t>ГЛИКОЛИЗ. ГЛЮКОНЕОГЕНЕЗ»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  <w:u w:val="single"/>
        </w:rPr>
        <w:t>Обоснование темы</w:t>
      </w:r>
      <w:r>
        <w:rPr>
          <w:sz w:val="28"/>
        </w:rPr>
        <w:t>.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 xml:space="preserve">Изучение данной темы позволяет раскрыть физиологическое значение окисления глюкозы в анаэробных условиях (гликолиза) и глюконеогенеза и использовать эти знания для объяснения патогенеза заболеваний, связанных с нарушением обмена углеводов. 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  <w:u w:val="single"/>
        </w:rPr>
        <w:t>Цель занятия</w:t>
      </w:r>
      <w:r>
        <w:rPr>
          <w:sz w:val="28"/>
        </w:rPr>
        <w:t>: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1. Знать этапы гликолиза, гликогенолиза и глюконеогенеза, 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2. Уметь оценить энергетическую ценность окисления углеводов в анаэробных условиях;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3. Уметь интерпретировать результаты определения глюкозы в крови.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Необходимый  исходный уровень: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Из курса биоорганической химии знать:</w:t>
      </w:r>
    </w:p>
    <w:p>
      <w:pPr>
        <w:spacing w:lineRule="auto" w:line="360" w:beforeAutospacing="0" w:afterAutospacing="0"/>
        <w:ind w:firstLine="720"/>
        <w:jc w:val="both"/>
        <w:rPr>
          <w:sz w:val="28"/>
        </w:rPr>
      </w:pPr>
      <w:r>
        <w:rPr>
          <w:sz w:val="28"/>
        </w:rPr>
        <w:t>- формулы моно- и дисахаридов, строение полисахаридов.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  <w:u w:val="single"/>
        </w:rPr>
        <w:t xml:space="preserve">Основные понятия темы: </w:t>
      </w:r>
      <w:r>
        <w:rPr>
          <w:sz w:val="28"/>
        </w:rPr>
        <w:t>гликолиз, гликогенолиз, глюконеогенез.</w:t>
      </w:r>
    </w:p>
    <w:p>
      <w:pPr>
        <w:pStyle w:val="P3"/>
        <w:ind w:firstLine="0" w:left="0"/>
        <w:rPr>
          <w:b w:val="1"/>
          <w:sz w:val="28"/>
        </w:rPr>
      </w:pPr>
    </w:p>
    <w:p>
      <w:pPr>
        <w:pStyle w:val="P3"/>
        <w:ind w:firstLine="0" w:left="0"/>
        <w:rPr>
          <w:b w:val="1"/>
          <w:sz w:val="28"/>
        </w:rPr>
      </w:pPr>
      <w:r>
        <w:rPr>
          <w:b w:val="1"/>
          <w:sz w:val="28"/>
        </w:rPr>
        <w:t xml:space="preserve">ВОПРОСЫ К ЗАНЯТИЮ </w:t>
      </w:r>
    </w:p>
    <w:p/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Пути использования глюкозы в клетке. 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Механизмы внутриклеточного окисления глюкозы и гликогена.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Дихотомическое анаэробное окисление углеводов (гликолиз, гликогенолиз).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Общая характеристика гликолиза. Этапы гликолиза.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Общая характеристика и химизм I-го этапа гликолиза.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Общая характеристика и химизм II этапа гликолиза.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Общая характеристика и химизм реакций III этапа гликолиза. Понятие гликолитической оксидоредукции.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Судьба восстановленного НАДН∙Н</w:t>
      </w:r>
      <w:r>
        <w:rPr>
          <w:sz w:val="28"/>
          <w:vertAlign w:val="superscript"/>
        </w:rPr>
        <w:t>+</w:t>
      </w:r>
      <w:r>
        <w:rPr>
          <w:sz w:val="28"/>
        </w:rPr>
        <w:t>, образовавшегося на стадии окисления З-ФГА. ПВК – временный акцептор ē и Н</w:t>
      </w:r>
      <w:r>
        <w:rPr>
          <w:sz w:val="28"/>
          <w:vertAlign w:val="superscript"/>
        </w:rPr>
        <w:t xml:space="preserve">+  </w:t>
      </w:r>
      <w:r>
        <w:rPr>
          <w:sz w:val="28"/>
        </w:rPr>
        <w:t>в анаэробных условиях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Энергетический эффект анаэробного гликолиза. Механизм образования АТФ (реакции гликолиза, сопряженные с синтезом АТФ). Распределение и физиологическая роль анаэробного распада глюкозы. 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Ключевые ферменты гликолиза (гексокиназа, фосфофруктокиназа, пируваткиназа). Аллостерическая регуляция гликолиза. 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Гликогенолиз. Общая характеристика. Этапы, химизм, энергетический эффект. 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Судьба лактата в организме.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Глюконеогенез: понятие, основные субстраты, химизм обходных путей глюконеогенеза.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Биотин, метаболические функции, проявления авитаминоза.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Взаимосвязь анаэробного гликолиза в мышцах и глюконеогенеза в печени: цикл Кори.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Аллостерические механизмы регуляции глюконеогенеза</w:t>
      </w:r>
    </w:p>
    <w:p>
      <w:pPr>
        <w:numPr>
          <w:ilvl w:val="0"/>
          <w:numId w:val="1"/>
        </w:num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Клиническое значение количественного определения глюкозы крови. </w:t>
      </w:r>
    </w:p>
    <w:p>
      <w:pPr>
        <w:pStyle w:val="P1"/>
        <w:spacing w:lineRule="auto" w:line="360" w:beforeAutospacing="0" w:afterAutospacing="0"/>
        <w:rPr>
          <w:b w:val="1"/>
          <w:i w:val="0"/>
          <w:sz w:val="28"/>
        </w:rPr>
      </w:pPr>
      <w:r>
        <w:rPr>
          <w:b w:val="1"/>
          <w:i w:val="0"/>
          <w:sz w:val="28"/>
        </w:rPr>
        <w:t>МЕТОДИЧЕСКИЕ УКАЗАНИЯ К ПРАКТИЧЕСКОЙ ЧАСТИ ЗАНЯТИЯ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УИРС</w:t>
      </w:r>
    </w:p>
    <w:p>
      <w:pPr>
        <w:spacing w:lineRule="auto" w:line="36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Лабораторная работа1</w:t>
      </w:r>
    </w:p>
    <w:p>
      <w:pPr>
        <w:pStyle w:val="P6"/>
        <w:rPr>
          <w:b w:val="1"/>
          <w:i w:val="1"/>
          <w:caps w:val="1"/>
          <w:sz w:val="28"/>
        </w:rPr>
      </w:pPr>
      <w:r>
        <w:rPr>
          <w:b w:val="1"/>
          <w:i w:val="1"/>
          <w:sz w:val="28"/>
        </w:rPr>
        <w:t>Определение концентрации глюкозы в сыворотке крови энзиматическим глюкозооксидазным методом</w:t>
      </w:r>
      <w:r>
        <w:rPr>
          <w:b w:val="1"/>
          <w:i w:val="1"/>
          <w:caps w:val="1"/>
          <w:sz w:val="28"/>
        </w:rPr>
        <w:t>.</w:t>
      </w:r>
    </w:p>
    <w:p>
      <w:pPr>
        <w:spacing w:lineRule="auto" w:line="360" w:beforeAutospacing="0" w:afterAutospacing="0"/>
        <w:ind w:firstLine="709"/>
        <w:jc w:val="both"/>
        <w:rPr>
          <w:sz w:val="28"/>
        </w:rPr>
      </w:pPr>
      <w:r>
        <w:rPr>
          <w:i w:val="1"/>
          <w:sz w:val="28"/>
          <w:u w:val="single"/>
        </w:rPr>
        <w:t>Принцип метода</w:t>
      </w:r>
      <w:r>
        <w:rPr>
          <w:sz w:val="28"/>
          <w:u w:val="single"/>
        </w:rPr>
        <w:t xml:space="preserve">: </w:t>
      </w:r>
      <w:r>
        <w:rPr>
          <w:sz w:val="28"/>
        </w:rPr>
        <w:t xml:space="preserve">при окислении </w:t>
      </w:r>
      <w:r>
        <w:rPr>
          <w:rFonts w:ascii="Symbol" w:hAnsi="Symbol"/>
          <w:sz w:val="28"/>
        </w:rPr>
        <w:t></w:t>
      </w:r>
      <w:r>
        <w:rPr>
          <w:sz w:val="28"/>
        </w:rPr>
        <w:t>Д-глюкозы кислородом воздуха под действием фермента глюкозооксидазы образуется эквимолярное количество перекиси водорода. Под действием пероксидазы перекись водорода окисляет хромогенные субстраты с образованием окрашенного продукта. Интенсивность окраски полученного раствора пропорциональна концентрации глюкозы в пробе.</w:t>
      </w:r>
    </w:p>
    <w:p>
      <w:pPr>
        <w:pStyle w:val="P7"/>
        <w:jc w:val="left"/>
        <w:outlineLvl w:val="3"/>
        <w:rPr>
          <w:sz w:val="28"/>
        </w:rPr>
      </w:pPr>
      <w:r>
        <w:rPr>
          <w:sz w:val="28"/>
        </w:rPr>
        <w:t>Ход работы:</w:t>
      </w:r>
    </w:p>
    <w:tbl>
      <w:tblPr>
        <w:tblW w:w="10031" w:type="dxa"/>
        <w:tblBorders>
          <w:top w:val="single" w:sz="6" w:space="0" w:shadow="0" w:frame="0" w:color="auto"/>
          <w:left w:val="single" w:sz="6" w:space="0" w:shadow="0" w:frame="0" w:color="auto"/>
          <w:bottom w:val="single" w:sz="6" w:space="0" w:shadow="0" w:frame="0" w:color="auto"/>
          <w:right w:val="single" w:sz="6" w:space="0" w:shadow="0" w:frame="0" w:color="auto"/>
          <w:insideH w:val="single" w:sz="6" w:space="0" w:shadow="0" w:frame="0" w:color="auto"/>
          <w:insideV w:val="single" w:sz="6" w:space="0" w:shadow="0" w:frame="0" w:color="auto"/>
        </w:tblBorders>
        <w:tblLayout w:type="fixed"/>
      </w:tblPr>
      <w:tblGrid/>
      <w:tr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>
            <w:pPr>
              <w:spacing w:lineRule="auto" w:line="36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>
            <w:pPr>
              <w:spacing w:lineRule="auto" w:line="360" w:beforeAutospacing="0" w:afterAutospacing="0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Опытная проба</w:t>
            </w:r>
          </w:p>
        </w:tc>
        <w:tc>
          <w:tcPr>
            <w:tcW w:w="2835" w:type="dxa"/>
          </w:tcPr>
          <w:p>
            <w:pPr>
              <w:spacing w:lineRule="auto" w:line="360" w:beforeAutospacing="0" w:afterAutospacing="0"/>
              <w:ind w:hanging="108"/>
              <w:jc w:val="center"/>
              <w:rPr>
                <w:sz w:val="28"/>
              </w:rPr>
            </w:pPr>
            <w:r>
              <w:rPr>
                <w:sz w:val="28"/>
              </w:rPr>
              <w:t>Калибровочная проба</w:t>
            </w:r>
          </w:p>
        </w:tc>
        <w:tc>
          <w:tcPr>
            <w:tcW w:w="2268" w:type="dxa"/>
          </w:tcPr>
          <w:p>
            <w:pPr>
              <w:spacing w:lineRule="auto" w:line="360" w:beforeAutospacing="0" w:afterAutospacing="0"/>
              <w:ind w:hanging="34" w:right="-108"/>
              <w:jc w:val="center"/>
              <w:rPr>
                <w:sz w:val="28"/>
              </w:rPr>
            </w:pPr>
            <w:r>
              <w:rPr>
                <w:sz w:val="28"/>
              </w:rPr>
              <w:t>Холостая проба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atLeast" w:val="1719"/>
        </w:trPr>
        <w:tc>
          <w:tcPr>
            <w:tcW w:w="2943" w:type="dxa"/>
          </w:tcPr>
          <w:p>
            <w:pPr>
              <w:spacing w:lineRule="auto" w:line="360" w:beforeAutospacing="0" w:afterAutospacing="0"/>
              <w:ind w:right="-108"/>
              <w:rPr>
                <w:sz w:val="28"/>
              </w:rPr>
            </w:pPr>
            <w:r>
              <w:rPr>
                <w:sz w:val="28"/>
              </w:rPr>
              <w:t>Рабочий раствор (мл)</w:t>
            </w:r>
          </w:p>
          <w:p>
            <w:pPr>
              <w:spacing w:lineRule="auto" w:line="360" w:beforeAutospacing="0" w:afterAutospacing="0"/>
              <w:rPr>
                <w:sz w:val="28"/>
              </w:rPr>
            </w:pPr>
            <w:r>
              <w:rPr>
                <w:sz w:val="28"/>
              </w:rPr>
              <w:t>Сыворотка крови (мл)</w:t>
            </w:r>
          </w:p>
          <w:p>
            <w:pPr>
              <w:spacing w:lineRule="auto" w:line="360" w:beforeAutospacing="0" w:afterAutospacing="0"/>
              <w:rPr>
                <w:sz w:val="28"/>
              </w:rPr>
            </w:pPr>
            <w:r>
              <w:rPr>
                <w:sz w:val="28"/>
              </w:rPr>
              <w:t>Калибратор (мл)</w:t>
            </w:r>
          </w:p>
          <w:p>
            <w:pPr>
              <w:spacing w:lineRule="auto" w:line="360" w:beforeAutospacing="0" w:afterAutospacing="0"/>
              <w:rPr>
                <w:sz w:val="28"/>
              </w:rPr>
            </w:pPr>
            <w:r>
              <w:rPr>
                <w:sz w:val="28"/>
              </w:rPr>
              <w:t>Вода дистил. (мл)</w:t>
            </w:r>
          </w:p>
        </w:tc>
        <w:tc>
          <w:tcPr>
            <w:tcW w:w="1985" w:type="dxa"/>
          </w:tcPr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35" w:type="dxa"/>
          </w:tcPr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>
            <w:pPr>
              <w:spacing w:lineRule="auto" w:line="360" w:beforeAutospacing="0" w:afterAutospacing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>
            <w:pPr>
              <w:pStyle w:val="P5"/>
              <w:spacing w:lineRule="auto" w:line="360" w:beforeAutospacing="0" w:afterAutospacing="0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</w:tr>
    </w:tbl>
    <w:p>
      <w:pPr>
        <w:rPr>
          <w:sz w:val="28"/>
        </w:rPr>
      </w:pPr>
    </w:p>
    <w:p>
      <w:pPr>
        <w:pStyle w:val="P4"/>
        <w:spacing w:lineRule="auto" w:line="360" w:beforeAutospacing="0" w:afterAutospacing="0"/>
        <w:ind w:firstLine="709"/>
        <w:rPr>
          <w:sz w:val="28"/>
        </w:rPr>
      </w:pPr>
      <w:r>
        <w:rPr>
          <w:sz w:val="28"/>
        </w:rPr>
        <w:t>Реакционную смесь тщательно перемешивают и инкубируют 15 минут при 37</w:t>
      </w:r>
      <w:r>
        <w:rPr>
          <w:sz w:val="28"/>
          <w:vertAlign w:val="superscript"/>
        </w:rPr>
        <w:t>0</w:t>
      </w:r>
      <w:r>
        <w:rPr>
          <w:sz w:val="28"/>
        </w:rPr>
        <w:t>С или в течение 25 минут при 18-25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С. Через5-10 минут после начала инкубации пробирки интенсивно встряхнуть. После окончания инкубации измеряют оптическую плотность опытной и калибровочной проб против холостой пробы в кювете с толщиной поглощаемого слоя 5 мм при длине волны 490-540 нм. </w:t>
      </w:r>
    </w:p>
    <w:p>
      <w:pPr>
        <w:spacing w:lineRule="auto" w:line="360" w:beforeAutospacing="0" w:afterAutospacing="0"/>
        <w:jc w:val="center"/>
        <w:rPr>
          <w:sz w:val="28"/>
        </w:rPr>
      </w:pPr>
      <w:r>
        <w:rPr>
          <w:sz w:val="28"/>
        </w:rPr>
        <w:t xml:space="preserve">Расчет концентрации глюкозы проводят по формуле: </w:t>
      </w:r>
      <w:r>
        <w:drawing>
          <wp:inline xmlns:wp="http://schemas.openxmlformats.org/drawingml/2006/wordprocessingDrawing">
            <wp:extent cx="728345" cy="4445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44450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sz w:val="28"/>
        </w:rPr>
        <w:t>, где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Е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– оптическая плотность опытной пробы;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Е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– оптическая плотность калибровочной пробы;</w:t>
      </w:r>
    </w:p>
    <w:p>
      <w:pPr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  10 – концентрация глюкозы в калибраторе.</w:t>
      </w:r>
    </w:p>
    <w:p>
      <w:pPr>
        <w:pStyle w:val="P5"/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Результат:</w:t>
      </w:r>
    </w:p>
    <w:p>
      <w:pPr>
        <w:pStyle w:val="P5"/>
        <w:jc w:val="both"/>
        <w:rPr>
          <w:i w:val="1"/>
          <w:sz w:val="28"/>
          <w:u w:val="single"/>
        </w:rPr>
      </w:pPr>
    </w:p>
    <w:p>
      <w:pPr>
        <w:pStyle w:val="P5"/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Вывод:</w:t>
      </w:r>
    </w:p>
    <w:p>
      <w:pPr>
        <w:pStyle w:val="P2"/>
        <w:spacing w:lineRule="auto" w:line="360" w:beforeAutospacing="0" w:afterAutospacing="0"/>
        <w:ind w:firstLine="709"/>
        <w:jc w:val="both"/>
        <w:rPr>
          <w:i w:val="0"/>
          <w:sz w:val="28"/>
        </w:rPr>
      </w:pPr>
      <w:r>
        <w:rPr>
          <w:i w:val="0"/>
          <w:sz w:val="28"/>
          <w:u w:val="single"/>
        </w:rPr>
        <w:t xml:space="preserve">Клинико-диагностическое значение. </w:t>
      </w:r>
      <w:r>
        <w:rPr>
          <w:i w:val="0"/>
          <w:sz w:val="28"/>
        </w:rPr>
        <w:t>Увеличение содержания в крови (гипергликемия) наблюдается при сахарном диабете, остром панкреатите, эмоциональных стрессах, после обильного приема углеводов с пищей, а также при повышении гормональной активности ряда желез (щитовидной, гипофиза, надпочечников). Снижение уровня глюкозы в крови (гипогликемия) встречается при поражении печени, гипотиреозе, гипофункции надпочечников и гипофиза, при недостатке углеводов в питании.</w:t>
      </w:r>
    </w:p>
    <w:p>
      <w:pPr>
        <w:pStyle w:val="P2"/>
        <w:rPr>
          <w:b w:val="1"/>
          <w:i w:val="0"/>
          <w:sz w:val="28"/>
        </w:rPr>
      </w:pPr>
      <w:r>
        <w:rPr>
          <w:b w:val="1"/>
          <w:i w:val="0"/>
          <w:sz w:val="28"/>
        </w:rPr>
        <w:t>ВОПРОСЫ ДЛЯ САМОКОНТРОЛЯ</w:t>
      </w:r>
    </w:p>
    <w:p>
      <w:pPr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</w:rPr>
        <w:t>I</w:t>
      </w:r>
      <w:r>
        <w:rPr>
          <w:sz w:val="28"/>
          <w:u w:val="single"/>
        </w:rPr>
        <w:t>. Решить ситуационные задачи:</w:t>
      </w:r>
    </w:p>
    <w:p>
      <w:pPr>
        <w:numPr>
          <w:ilvl w:val="0"/>
          <w:numId w:val="2"/>
        </w:num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У спортсмена (лыжника) после тренировки в крови обнаружили повышенную концентрацию лактата. Объясните механизм повышения лактата в крови, укажите органы, в которых происходит его образование и какова судьба лактата в организме?</w:t>
      </w:r>
    </w:p>
    <w:p>
      <w:pPr>
        <w:numPr>
          <w:ilvl w:val="0"/>
          <w:numId w:val="2"/>
        </w:num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Оттекающий с кровью от скелетной мускулатуры лактат окисляется в сердечной мышце до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О.  Почему лактат не окисляется в скелетной мышце?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  <w:u w:val="single"/>
        </w:rPr>
      </w:pPr>
      <w:r>
        <w:rPr>
          <w:sz w:val="28"/>
          <w:u w:val="single"/>
        </w:rPr>
        <w:t>П.Ответить на вопросы: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В хрусталике глаза, не содержащем митохондрии, в качестве источника энергии используется глюкоза: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1. Какой путь катаболизма глюкозы обеспечивает энергией АТФ хрусталик глаза?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2. Напишите схему метаболического пути, обеспечивающего хрусталик глаза энергией. Укажите ферменты и кофакторы ферментов.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3. Назовите способ синтеза АТФ в этом процессе и укажите причину использования этого способа синтеза АТФ в хрусталике.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4.  Перечислите ткани и клетки, в которых синтез АТФ происходит так же, как в хрусталике.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>5. Напишите реакцию дегидрирования, протекающую в этом процессе, и реакцию образования конечного продукта.</w:t>
      </w:r>
    </w:p>
    <w:p>
      <w:pPr>
        <w:tabs>
          <w:tab w:val="left" w:pos="504" w:leader="none"/>
        </w:tabs>
        <w:spacing w:lineRule="auto" w:line="360" w:beforeAutospacing="0" w:afterAutospacing="0"/>
        <w:jc w:val="both"/>
        <w:rPr>
          <w:sz w:val="28"/>
        </w:rPr>
      </w:pPr>
      <w:r>
        <w:rPr>
          <w:sz w:val="28"/>
        </w:rPr>
        <w:t xml:space="preserve">6. Укажите судьбу конечного продукта этого процесса и последствия, возникающие при его накоплении.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4"/>
        <w:numPr>
          <w:ilvl w:val="0"/>
          <w:numId w:val="3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с упражнениями и задачами [ Текст] : учебник / под ред. С.Е. Северина. – М.: ГЭОТАР – Медиа, 2012.-622 с.</w:t>
      </w:r>
    </w:p>
    <w:p>
      <w:pPr>
        <w:pStyle w:val="P4"/>
        <w:tabs>
          <w:tab w:val="left" w:pos="360" w:leader="none"/>
        </w:tabs>
        <w:ind w:left="360"/>
        <w:rPr>
          <w:sz w:val="28"/>
        </w:rPr>
      </w:pPr>
    </w:p>
    <w:p>
      <w:pPr>
        <w:pStyle w:val="P4"/>
        <w:tabs>
          <w:tab w:val="left" w:pos="360" w:leader="none"/>
        </w:tabs>
        <w:jc w:val="center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pStyle w:val="P4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1. Биохимия [Текст]: руководство к практическим занятиям / под ред. Н.Н.   Чернова. -М.:ГЭОТАР-Медиа, 2009, 240 с.</w:t>
      </w:r>
    </w:p>
    <w:p>
      <w:pPr>
        <w:jc w:val="both"/>
        <w:rPr>
          <w:sz w:val="28"/>
        </w:rPr>
      </w:pPr>
      <w:r>
        <w:rPr>
          <w:sz w:val="28"/>
        </w:rPr>
        <w:t>2. Биохимия [Текст]: учеб. для вузов / Т.Л. Алейникова, Л.В. Авдеева, Л.Е. Андрианова и др.; под ред.Е.С. Северина. – 4-е изд., испр. – М.: ГЭОТАР – Медиа, 2007. -784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3. Нельсон, Д. Основы биохимии Ленинджера. В трех томах.  / Д.Нельсон, М Кокс.  -М.: Бином. Лабораторные знания, 2011.- т.1 -682 с.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4. Николаев, А.Я. Биологическая химия [ Текст] : учеб. для студентов мед. вузов / А.Я. Николаев.- 3-е изд., перераб. и доп. – М.: Медицинское информ. Агентство, 2007.- 568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FA68CF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145E8FA2">
      <w:start w:val="1"/>
      <w:numFmt w:val="decimal"/>
      <w:suff w:val="tab"/>
      <w:lvlText w:val="%1."/>
      <w:lvlJc w:val="left"/>
      <w:pPr/>
      <w:rPr/>
    </w:lvl>
    <w:lvl w:ilvl="2" w:tplc="79D5B805">
      <w:start w:val="1"/>
      <w:numFmt w:val="decimal"/>
      <w:suff w:val="tab"/>
      <w:lvlText w:val="%1."/>
      <w:lvlJc w:val="left"/>
      <w:pPr/>
      <w:rPr/>
    </w:lvl>
    <w:lvl w:ilvl="3" w:tplc="23D9809A">
      <w:start w:val="1"/>
      <w:numFmt w:val="decimal"/>
      <w:suff w:val="tab"/>
      <w:lvlText w:val="%1."/>
      <w:lvlJc w:val="left"/>
      <w:pPr/>
      <w:rPr/>
    </w:lvl>
    <w:lvl w:ilvl="4" w:tplc="6C444993">
      <w:start w:val="1"/>
      <w:numFmt w:val="decimal"/>
      <w:suff w:val="tab"/>
      <w:lvlText w:val="%1."/>
      <w:lvlJc w:val="left"/>
      <w:pPr/>
      <w:rPr/>
    </w:lvl>
    <w:lvl w:ilvl="5" w:tplc="0699A414">
      <w:start w:val="1"/>
      <w:numFmt w:val="decimal"/>
      <w:suff w:val="tab"/>
      <w:lvlText w:val="%1."/>
      <w:lvlJc w:val="left"/>
      <w:pPr/>
      <w:rPr/>
    </w:lvl>
    <w:lvl w:ilvl="6" w:tplc="7E2975AA">
      <w:start w:val="1"/>
      <w:numFmt w:val="decimal"/>
      <w:suff w:val="tab"/>
      <w:lvlText w:val="%1."/>
      <w:lvlJc w:val="left"/>
      <w:pPr/>
      <w:rPr/>
    </w:lvl>
    <w:lvl w:ilvl="7" w:tplc="44B9ECBE">
      <w:start w:val="1"/>
      <w:numFmt w:val="decimal"/>
      <w:suff w:val="tab"/>
      <w:lvlText w:val="%1."/>
      <w:lvlJc w:val="left"/>
      <w:pPr/>
      <w:rPr/>
    </w:lvl>
    <w:lvl w:ilvl="8" w:tplc="5BBAFFB2">
      <w:start w:val="1"/>
      <w:numFmt w:val="decimal"/>
      <w:suff w:val="tab"/>
      <w:lvlText w:val="%1."/>
      <w:lvlJc w:val="left"/>
      <w:pPr/>
      <w:rPr/>
    </w:lvl>
  </w:abstractNum>
  <w:abstractNum w:abstractNumId="1">
    <w:nsid w:val="26F11684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1266EC51">
      <w:start w:val="1"/>
      <w:numFmt w:val="decimal"/>
      <w:suff w:val="tab"/>
      <w:lvlText w:val="%1."/>
      <w:lvlJc w:val="left"/>
      <w:pPr/>
      <w:rPr/>
    </w:lvl>
    <w:lvl w:ilvl="2" w:tplc="791B715B">
      <w:start w:val="1"/>
      <w:numFmt w:val="decimal"/>
      <w:suff w:val="tab"/>
      <w:lvlText w:val="%1."/>
      <w:lvlJc w:val="left"/>
      <w:pPr/>
      <w:rPr/>
    </w:lvl>
    <w:lvl w:ilvl="3" w:tplc="0269B184">
      <w:start w:val="1"/>
      <w:numFmt w:val="decimal"/>
      <w:suff w:val="tab"/>
      <w:lvlText w:val="%1."/>
      <w:lvlJc w:val="left"/>
      <w:pPr/>
      <w:rPr/>
    </w:lvl>
    <w:lvl w:ilvl="4" w:tplc="575F16FE">
      <w:start w:val="1"/>
      <w:numFmt w:val="decimal"/>
      <w:suff w:val="tab"/>
      <w:lvlText w:val="%1."/>
      <w:lvlJc w:val="left"/>
      <w:pPr/>
      <w:rPr/>
    </w:lvl>
    <w:lvl w:ilvl="5" w:tplc="5DF8E7A7">
      <w:start w:val="1"/>
      <w:numFmt w:val="decimal"/>
      <w:suff w:val="tab"/>
      <w:lvlText w:val="%1."/>
      <w:lvlJc w:val="left"/>
      <w:pPr/>
      <w:rPr/>
    </w:lvl>
    <w:lvl w:ilvl="6" w:tplc="084C15E3">
      <w:start w:val="1"/>
      <w:numFmt w:val="decimal"/>
      <w:suff w:val="tab"/>
      <w:lvlText w:val="%1."/>
      <w:lvlJc w:val="left"/>
      <w:pPr/>
      <w:rPr/>
    </w:lvl>
    <w:lvl w:ilvl="7" w:tplc="2FEE7B66">
      <w:start w:val="1"/>
      <w:numFmt w:val="decimal"/>
      <w:suff w:val="tab"/>
      <w:lvlText w:val="%1."/>
      <w:lvlJc w:val="left"/>
      <w:pPr/>
      <w:rPr/>
    </w:lvl>
    <w:lvl w:ilvl="8" w:tplc="752F01F8">
      <w:start w:val="1"/>
      <w:numFmt w:val="decimal"/>
      <w:suff w:val="tab"/>
      <w:lvlText w:val="%1."/>
      <w:lvlJc w:val="left"/>
      <w:pPr/>
      <w:rPr/>
    </w:lvl>
  </w:abstractNum>
  <w:abstractNum w:abstractNumId="2">
    <w:nsid w:val="58A02CC3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3"/>
    <w:basedOn w:val="P0"/>
    <w:next w:val="P0"/>
    <w:link w:val="C3"/>
    <w:qFormat/>
    <w:pPr>
      <w:keepNext w:val="1"/>
      <w:ind w:hanging="1843" w:left="1843"/>
      <w:jc w:val="center"/>
      <w:outlineLvl w:val="2"/>
    </w:pPr>
    <w:rPr>
      <w:i w:val="1"/>
      <w:sz w:val="24"/>
    </w:rPr>
  </w:style>
  <w:style w:type="paragraph" w:styleId="P2">
    <w:name w:val="heading 5"/>
    <w:basedOn w:val="P0"/>
    <w:next w:val="P0"/>
    <w:link w:val="C4"/>
    <w:qFormat/>
    <w:pPr>
      <w:keepNext w:val="1"/>
      <w:jc w:val="center"/>
      <w:outlineLvl w:val="4"/>
    </w:pPr>
    <w:rPr>
      <w:i w:val="1"/>
      <w:sz w:val="24"/>
    </w:rPr>
  </w:style>
  <w:style w:type="paragraph" w:styleId="P3">
    <w:name w:val="heading 9"/>
    <w:basedOn w:val="P0"/>
    <w:next w:val="P0"/>
    <w:link w:val="C5"/>
    <w:qFormat/>
    <w:pPr>
      <w:keepNext w:val="1"/>
      <w:ind w:hanging="1701" w:left="1701"/>
      <w:jc w:val="center"/>
      <w:outlineLvl w:val="8"/>
    </w:pPr>
    <w:rPr>
      <w:sz w:val="24"/>
    </w:rPr>
  </w:style>
  <w:style w:type="paragraph" w:styleId="P4">
    <w:name w:val="Body Text"/>
    <w:basedOn w:val="P0"/>
    <w:link w:val="C6"/>
    <w:pPr>
      <w:jc w:val="both"/>
    </w:pPr>
    <w:rPr>
      <w:sz w:val="24"/>
    </w:rPr>
  </w:style>
  <w:style w:type="paragraph" w:styleId="P5">
    <w:name w:val="Body Text 2"/>
    <w:basedOn w:val="P0"/>
    <w:link w:val="C7"/>
    <w:pPr>
      <w:spacing w:lineRule="auto" w:line="360" w:beforeAutospacing="0" w:afterAutospacing="0"/>
      <w:jc w:val="center"/>
    </w:pPr>
    <w:rPr>
      <w:sz w:val="26"/>
    </w:rPr>
  </w:style>
  <w:style w:type="paragraph" w:styleId="P6">
    <w:name w:val="Основной текст 21"/>
    <w:basedOn w:val="P0"/>
    <w:pPr>
      <w:spacing w:lineRule="auto" w:line="360" w:beforeAutospacing="0" w:afterAutospacing="0"/>
      <w:jc w:val="center"/>
    </w:pPr>
    <w:rPr>
      <w:sz w:val="26"/>
    </w:rPr>
  </w:style>
  <w:style w:type="paragraph" w:styleId="P7">
    <w:name w:val="заголовок 4"/>
    <w:basedOn w:val="P0"/>
    <w:next w:val="P0"/>
    <w:pPr>
      <w:keepNext w:val="1"/>
      <w:spacing w:lineRule="auto" w:line="360" w:beforeAutospacing="0" w:afterAutospacing="0"/>
      <w:jc w:val="center"/>
    </w:pPr>
    <w:rPr>
      <w:sz w:val="26"/>
      <w:u w:val="single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3 Знак"/>
    <w:basedOn w:val="C0"/>
    <w:link w:val="P1"/>
    <w:rPr>
      <w:i w:val="1"/>
      <w:sz w:val="24"/>
    </w:rPr>
  </w:style>
  <w:style w:type="character" w:styleId="C4">
    <w:name w:val="Заголовок 5 Знак"/>
    <w:basedOn w:val="C0"/>
    <w:link w:val="P2"/>
    <w:rPr>
      <w:i w:val="1"/>
      <w:sz w:val="24"/>
    </w:rPr>
  </w:style>
  <w:style w:type="character" w:styleId="C5">
    <w:name w:val="Заголовок 9 Знак"/>
    <w:basedOn w:val="C0"/>
    <w:link w:val="P3"/>
    <w:rPr>
      <w:sz w:val="24"/>
    </w:rPr>
  </w:style>
  <w:style w:type="character" w:styleId="C6">
    <w:name w:val="Основной текст Знак"/>
    <w:basedOn w:val="C0"/>
    <w:link w:val="P4"/>
    <w:rPr>
      <w:sz w:val="24"/>
    </w:rPr>
  </w:style>
  <w:style w:type="character" w:styleId="C7">
    <w:name w:val="Основной текст 2 Знак"/>
    <w:basedOn w:val="C0"/>
    <w:link w:val="P5"/>
    <w:rPr>
      <w:sz w:val="2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w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