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AEE86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ЗАНЯТИЕ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5.1 « ПЕРЕВАРИВАНИЕ БЕЛКОВ 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 ЖЕЛУДОЧНО-КИШЕЧНОМ ТРАКТЕ» (УИРС)</w:t>
      </w:r>
    </w:p>
    <w:p>
      <w:pPr>
        <w:rPr>
          <w:b w:val="1"/>
          <w:sz w:val="28"/>
        </w:rPr>
      </w:pPr>
    </w:p>
    <w:p>
      <w:pPr>
        <w:ind w:firstLine="709"/>
        <w:jc w:val="both"/>
        <w:rPr>
          <w:b w:val="1"/>
          <w:sz w:val="28"/>
        </w:rPr>
      </w:pPr>
      <w:r>
        <w:rPr>
          <w:sz w:val="28"/>
          <w:u w:val="single"/>
        </w:rPr>
        <w:t>Обоснование темы.</w:t>
      </w:r>
      <w:r>
        <w:rPr>
          <w:sz w:val="28"/>
        </w:rPr>
        <w:t xml:space="preserve"> Представление о процессах переваривания белков, умение проводить и правильно оценивать результаты биохимического анализа пищеварительных соков необходимо врачу для оценки состояния желудочно-кишечного тракта, своевременного выявления его патологии. </w:t>
      </w:r>
    </w:p>
    <w:p>
      <w:pPr>
        <w:ind w:hanging="2127" w:left="2127"/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 </w:t>
      </w:r>
    </w:p>
    <w:p>
      <w:pPr>
        <w:numPr>
          <w:ilvl w:val="0"/>
          <w:numId w:val="1"/>
        </w:numPr>
        <w:ind w:left="1723"/>
        <w:jc w:val="both"/>
        <w:rPr>
          <w:sz w:val="28"/>
        </w:rPr>
      </w:pPr>
      <w:r>
        <w:rPr>
          <w:sz w:val="28"/>
        </w:rPr>
        <w:t>знать физиологическую роль белков, источники и потребность в белках;</w:t>
      </w:r>
    </w:p>
    <w:p>
      <w:pPr>
        <w:numPr>
          <w:ilvl w:val="0"/>
          <w:numId w:val="1"/>
        </w:numPr>
        <w:ind w:left="1723"/>
        <w:jc w:val="both"/>
        <w:rPr>
          <w:sz w:val="28"/>
        </w:rPr>
      </w:pPr>
      <w:r>
        <w:rPr>
          <w:sz w:val="28"/>
        </w:rPr>
        <w:t>знать ферментный состав пищеварительных соков, участвующих в переваривании белков;</w:t>
      </w:r>
    </w:p>
    <w:p>
      <w:pPr>
        <w:numPr>
          <w:ilvl w:val="0"/>
          <w:numId w:val="1"/>
        </w:numPr>
        <w:ind w:left="1723"/>
        <w:jc w:val="both"/>
        <w:rPr>
          <w:sz w:val="28"/>
        </w:rPr>
      </w:pPr>
      <w:r>
        <w:rPr>
          <w:sz w:val="28"/>
        </w:rPr>
        <w:t>знать процессы переваривания белков в ЖКТ;</w:t>
      </w:r>
    </w:p>
    <w:p>
      <w:pPr>
        <w:numPr>
          <w:ilvl w:val="0"/>
          <w:numId w:val="1"/>
        </w:numPr>
        <w:ind w:left="1723"/>
        <w:jc w:val="both"/>
        <w:rPr>
          <w:sz w:val="28"/>
        </w:rPr>
      </w:pPr>
      <w:r>
        <w:rPr>
          <w:sz w:val="28"/>
        </w:rPr>
        <w:t>уметь проводить качественный анализ желудочного сока внорме и при патологии;</w:t>
      </w:r>
    </w:p>
    <w:p>
      <w:pPr>
        <w:numPr>
          <w:ilvl w:val="0"/>
          <w:numId w:val="1"/>
        </w:numPr>
        <w:ind w:left="1723"/>
        <w:jc w:val="both"/>
        <w:rPr>
          <w:sz w:val="28"/>
        </w:rPr>
      </w:pPr>
      <w:r>
        <w:rPr>
          <w:sz w:val="28"/>
        </w:rPr>
        <w:t>уметь оценивать полученные данные.</w:t>
      </w:r>
    </w:p>
    <w:p>
      <w:pPr>
        <w:ind w:hanging="2127" w:left="2127"/>
        <w:jc w:val="both"/>
        <w:rPr>
          <w:sz w:val="28"/>
        </w:rPr>
      </w:pPr>
      <w:r>
        <w:rPr>
          <w:sz w:val="28"/>
          <w:u w:val="single"/>
        </w:rPr>
        <w:t>Необходимый исходный уровень.</w:t>
      </w:r>
      <w:r>
        <w:rPr>
          <w:sz w:val="28"/>
        </w:rPr>
        <w:t xml:space="preserve">  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Из курса биоорганической химии студент должен знать:</w:t>
      </w:r>
    </w:p>
    <w:p>
      <w:pPr>
        <w:numPr>
          <w:ilvl w:val="0"/>
          <w:numId w:val="1"/>
        </w:numPr>
        <w:tabs>
          <w:tab w:val="left" w:pos="2127" w:leader="none"/>
        </w:tabs>
        <w:ind w:left="1723"/>
        <w:jc w:val="both"/>
        <w:rPr>
          <w:sz w:val="28"/>
        </w:rPr>
      </w:pPr>
      <w:r>
        <w:rPr>
          <w:sz w:val="28"/>
        </w:rPr>
        <w:t>аминокислотный состав белка;</w:t>
      </w:r>
    </w:p>
    <w:p>
      <w:pPr>
        <w:numPr>
          <w:ilvl w:val="0"/>
          <w:numId w:val="1"/>
        </w:numPr>
        <w:tabs>
          <w:tab w:val="left" w:pos="2127" w:leader="none"/>
        </w:tabs>
        <w:ind w:left="1723"/>
        <w:jc w:val="both"/>
        <w:rPr>
          <w:sz w:val="28"/>
        </w:rPr>
      </w:pPr>
      <w:r>
        <w:rPr>
          <w:sz w:val="28"/>
        </w:rPr>
        <w:t>структурную организацию белковой молекулы.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Переваривание белков. Характеристика пептидаз. Динамическое состояние белков в организме: азотистый баланс. 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Значение белка в питании и жизнедеятельности организма.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Источники белков. Суточная норма белка.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Химическая и биологическая ценность различных белков. Заменимые и незаменимые аминокислоты.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Понятие об азотистом балансе (положительный, отрицательный азотистый баланс; азотистое равновесие).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Переваривание белков. Протеолитические ферменты желудочно-кишечного тракта (общая характеристика).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Химический состав желудочного сока. Протеолиз в желудке.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соляной кислоты в переваривании белков.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Химический состав панкреатического сока. Переваривание белков ферментами панкреатического сока.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Химический состав кишечного сока. Переваривание белков в кишечнике (в тонкой кишке).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Нейрогуморальная регуляция переваривания белков (гастрин, секретин, холецистокинин (панкреозимин)).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Всасывание продуктов переваривания белков.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Гниение аминокислот в кишечнике. Продукты гниения: путресцин, кадаверин, фенол, индол, скатол.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печени в обезвреживании и выведении продуктов гниения аминокислот. Роль ФАФС и УДФ–глюкуроновой кислоты.</w:t>
      </w:r>
    </w:p>
    <w:p>
      <w:pPr>
        <w:tabs>
          <w:tab w:val="left" w:pos="360" w:leader="none"/>
        </w:tabs>
        <w:jc w:val="both"/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 К ПРАКТИЧЕСКОЙ ЧАСТИ ЗАНЯТИЯ</w:t>
      </w:r>
    </w:p>
    <w:p>
      <w:pPr>
        <w:tabs>
          <w:tab w:val="left" w:pos="720" w:leader="none"/>
        </w:tabs>
        <w:ind w:left="720"/>
        <w:jc w:val="center"/>
        <w:rPr>
          <w:b w:val="1"/>
          <w:sz w:val="28"/>
        </w:rPr>
      </w:pPr>
    </w:p>
    <w:p>
      <w:pPr>
        <w:tabs>
          <w:tab w:val="left" w:pos="720" w:leader="none"/>
        </w:tabs>
        <w:ind w:left="720"/>
        <w:jc w:val="center"/>
        <w:rPr>
          <w:sz w:val="28"/>
        </w:rPr>
      </w:pPr>
      <w:r>
        <w:rPr>
          <w:b w:val="1"/>
          <w:sz w:val="28"/>
        </w:rPr>
        <w:t>КАЧЕСТВЕННЫЙ АНАЛИЗ ЖЕЛУДОЧНОГО СОКА</w:t>
      </w:r>
    </w:p>
    <w:p>
      <w:pPr>
        <w:ind w:hanging="1276" w:left="1276"/>
        <w:jc w:val="both"/>
        <w:rPr>
          <w:sz w:val="28"/>
        </w:rPr>
      </w:pPr>
      <w:r>
        <w:rPr>
          <w:i w:val="1"/>
          <w:sz w:val="28"/>
        </w:rPr>
        <w:t xml:space="preserve">Цвет:           </w:t>
      </w:r>
      <w:r>
        <w:rPr>
          <w:sz w:val="28"/>
        </w:rPr>
        <w:t>В норме желудочный сок бесцветный. Если желудочный сок имеет желтую окраску – возможно присутствие желчных кислот, если бурую, розовую, алую – возможно присутствие крови.</w:t>
      </w:r>
    </w:p>
    <w:p>
      <w:pPr>
        <w:ind w:hanging="1276" w:left="1276"/>
        <w:jc w:val="both"/>
        <w:rPr>
          <w:sz w:val="28"/>
        </w:rPr>
      </w:pPr>
      <w:r>
        <w:rPr>
          <w:i w:val="1"/>
          <w:sz w:val="28"/>
        </w:rPr>
        <w:t xml:space="preserve">Запах:          </w:t>
      </w:r>
      <w:r>
        <w:rPr>
          <w:sz w:val="28"/>
        </w:rPr>
        <w:t xml:space="preserve"> В норме желудочный сок без запаха, гнилостный запах говорит об усиленных процессах гниения в желудке в связи с малым количеством свободной HCl, резко кислый запах – о повышенной кислотности желудочного сока.</w:t>
      </w:r>
    </w:p>
    <w:p>
      <w:pPr>
        <w:ind w:hanging="1276" w:left="1276"/>
        <w:jc w:val="both"/>
        <w:rPr>
          <w:sz w:val="28"/>
        </w:rPr>
      </w:pPr>
      <w:r>
        <w:rPr>
          <w:i w:val="1"/>
          <w:sz w:val="28"/>
        </w:rPr>
        <w:t xml:space="preserve">Прозрачность: </w:t>
      </w:r>
      <w:r>
        <w:rPr>
          <w:sz w:val="28"/>
        </w:rPr>
        <w:t>В норме желудочный сок прозрачный.</w:t>
      </w:r>
    </w:p>
    <w:p>
      <w:pPr>
        <w:ind w:hanging="1276" w:left="1276"/>
        <w:jc w:val="both"/>
        <w:rPr>
          <w:sz w:val="28"/>
        </w:rPr>
      </w:pPr>
      <w:r>
        <w:rPr>
          <w:i w:val="1"/>
          <w:sz w:val="28"/>
        </w:rPr>
        <w:t xml:space="preserve">Осадок:       </w:t>
      </w:r>
      <w:r>
        <w:rPr>
          <w:sz w:val="28"/>
        </w:rPr>
        <w:t xml:space="preserve"> В норме желудочный сок без осадка.</w:t>
      </w:r>
    </w:p>
    <w:p>
      <w:pPr>
        <w:pStyle w:val="P2"/>
        <w:rPr>
          <w:sz w:val="28"/>
        </w:rPr>
      </w:pPr>
      <w:r>
        <w:rPr>
          <w:sz w:val="28"/>
        </w:rPr>
        <w:t>Определение реакции среды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норме желудочный сок имеет кислую реакцию среды благодаря присутствию в нем HCl. Реакция среды определяется при помощи индикаторов: синего и красного лакмуса.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1. Полоску синей лакмусовой бумаги опускают в желудочный сок на 1 – 2 секунды. В кислой среде синий лакмус краснеет, в щелочной и нейтральной остается без изменений.</w:t>
      </w:r>
    </w:p>
    <w:p>
      <w:pPr>
        <w:pStyle w:val="P5"/>
        <w:ind w:firstLine="709" w:left="0"/>
        <w:rPr>
          <w:sz w:val="28"/>
        </w:rPr>
      </w:pPr>
      <w:r>
        <w:rPr>
          <w:sz w:val="28"/>
        </w:rPr>
        <w:t>2. Полоску красной лакмусовой бумаги опускают в желудочный сок на 1 – 2 секунды. В щелочной среде красный лакмус синеет, в нейтральной и кислой остается без изменений.</w:t>
      </w:r>
    </w:p>
    <w:p>
      <w:pPr>
        <w:ind w:hanging="1843" w:left="1843"/>
        <w:jc w:val="both"/>
        <w:rPr>
          <w:sz w:val="28"/>
        </w:rPr>
      </w:pPr>
    </w:p>
    <w:p>
      <w:pPr>
        <w:pStyle w:val="P3"/>
        <w:rPr>
          <w:sz w:val="28"/>
        </w:rPr>
      </w:pPr>
      <w:r>
        <w:rPr>
          <w:sz w:val="28"/>
        </w:rPr>
        <w:t>Определение рН желудочного сока</w:t>
      </w:r>
    </w:p>
    <w:p>
      <w:pPr>
        <w:pStyle w:val="P5"/>
        <w:ind w:firstLine="709" w:left="0"/>
        <w:rPr>
          <w:sz w:val="28"/>
        </w:rPr>
      </w:pPr>
      <w:r>
        <w:rPr>
          <w:sz w:val="28"/>
        </w:rPr>
        <w:t>рН нормального желудочного сока равен 1,5 – 2,5.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На универсальную индикаторную бумажку наносят 2 – 3 капли желудочного сока и окраску сравнивают с эталоном.</w:t>
      </w:r>
    </w:p>
    <w:p>
      <w:pPr>
        <w:ind w:hanging="1843" w:left="1843"/>
        <w:jc w:val="both"/>
        <w:rPr>
          <w:sz w:val="28"/>
          <w:u w:val="single"/>
        </w:rPr>
      </w:pPr>
    </w:p>
    <w:p>
      <w:pPr>
        <w:ind w:hanging="1843" w:left="1843"/>
        <w:jc w:val="center"/>
        <w:rPr>
          <w:sz w:val="28"/>
        </w:rPr>
      </w:pPr>
      <w:r>
        <w:rPr>
          <w:i w:val="1"/>
          <w:sz w:val="28"/>
        </w:rPr>
        <w:t>Качественные реакции на обнаружение HCI в желудочном соке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Присутствие в желудочном соке свободной HCl  определяют при помощи индикаторов – красного Конго и парадиметиламиноазобензола (ПДМААБ).</w:t>
      </w:r>
    </w:p>
    <w:p>
      <w:pPr>
        <w:ind w:hanging="1560" w:left="1560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1. На бумажку “Конго красный” наносят 1 каплю желудочного сока. В присутствии свободной HCl бумажка приобретает синий цвет.</w:t>
      </w:r>
    </w:p>
    <w:p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К 0,5 мл желудочного сока прибавляют 1 каплю  ПДМААБ. В присутствии свободной HCl раствор становится красным.</w:t>
      </w:r>
    </w:p>
    <w:p>
      <w:pPr>
        <w:ind w:hanging="1560" w:left="1560"/>
        <w:jc w:val="center"/>
        <w:rPr>
          <w:b w:val="1"/>
          <w:sz w:val="28"/>
        </w:rPr>
      </w:pPr>
    </w:p>
    <w:p>
      <w:pPr>
        <w:ind w:hanging="1560" w:left="1560"/>
        <w:jc w:val="center"/>
        <w:rPr>
          <w:b w:val="1"/>
          <w:sz w:val="28"/>
        </w:rPr>
      </w:pPr>
      <w:r>
        <w:rPr>
          <w:b w:val="1"/>
          <w:sz w:val="28"/>
        </w:rPr>
        <w:t xml:space="preserve">ПАТОЛОГИЧЕСКИЕ КОМПОНЕНТЫ ЖЕЛУДОЧНОГО СОКА </w:t>
      </w:r>
    </w:p>
    <w:p>
      <w:pPr>
        <w:ind w:hanging="1560" w:left="1560"/>
        <w:jc w:val="center"/>
        <w:rPr>
          <w:b w:val="1"/>
          <w:sz w:val="28"/>
        </w:rPr>
      </w:pPr>
      <w:r>
        <w:rPr>
          <w:b w:val="1"/>
          <w:sz w:val="28"/>
        </w:rPr>
        <w:t>И ИХ ОБНАРУЖЕНИЕ</w:t>
      </w:r>
    </w:p>
    <w:p>
      <w:pPr>
        <w:pStyle w:val="P4"/>
        <w:rPr>
          <w:sz w:val="28"/>
        </w:rPr>
      </w:pPr>
      <w:r>
        <w:rPr>
          <w:sz w:val="28"/>
        </w:rPr>
        <w:t>Реакция на кровь (бензидиновая проба)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Принцип метода: </w:t>
      </w:r>
      <w:r>
        <w:rPr>
          <w:sz w:val="28"/>
        </w:rPr>
        <w:t>основан на слабой пероксидазной активности гемоглобина, который в кислой среде разлагает перекись водорода; образующийся кислород окисляет бензидин с образованием окрашенных продуктов</w:t>
      </w:r>
    </w:p>
    <w:p>
      <w:pPr>
        <w:ind w:firstLine="709"/>
        <w:rPr>
          <w:sz w:val="28"/>
        </w:rPr>
      </w:pPr>
      <w:r>
        <w:rPr>
          <w:sz w:val="28"/>
          <w:u w:val="single"/>
        </w:rPr>
        <w:t>Ход работы:</w:t>
      </w:r>
    </w:p>
    <w:p>
      <w:pPr>
        <w:pStyle w:val="P6"/>
        <w:ind w:firstLine="709"/>
        <w:rPr>
          <w:sz w:val="28"/>
        </w:rPr>
      </w:pPr>
      <w:r>
        <w:rPr>
          <w:sz w:val="28"/>
        </w:rPr>
        <w:t>В пробирку наливают 0,5 мл исследуемого желудочного сока и приливают к нему такое же количество раствора бензидина, затем добавляют 5 капель раствора 3% пероксида водорода. При наличии крови в желудочном соке появляется желто-зеленое окрашивание.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Появление крови обусловлено язвенной болезнью желудка, травмой, а также повреждением слизистой пищевода и желудка при зондировании.</w:t>
      </w:r>
    </w:p>
    <w:p>
      <w:pPr>
        <w:jc w:val="center"/>
        <w:rPr>
          <w:i w:val="1"/>
          <w:sz w:val="28"/>
        </w:rPr>
      </w:pPr>
      <w:r>
        <w:rPr>
          <w:i w:val="1"/>
          <w:sz w:val="28"/>
        </w:rPr>
        <w:t>Реакция на молочную кислоту (реакция Уффельмана)</w:t>
      </w:r>
    </w:p>
    <w:p>
      <w:pPr>
        <w:pStyle w:val="P6"/>
        <w:ind w:firstLine="709"/>
        <w:rPr>
          <w:sz w:val="28"/>
        </w:rPr>
      </w:pPr>
      <w:r>
        <w:rPr>
          <w:sz w:val="28"/>
          <w:u w:val="single"/>
        </w:rPr>
        <w:t>Принцип метода.</w:t>
      </w:r>
      <w:r>
        <w:rPr>
          <w:sz w:val="28"/>
        </w:rPr>
        <w:t xml:space="preserve"> Молочная кислота в присутствии фенолята железа, окрашенного в фиолетовый цвет, образует лактат железа зелено-желтого цвета.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Приготовление реактива Уффельмана: к 1 мл 1% раствора фенола прибавляют 2 капли 1% раствора хлорного железа до появления фиолетового цвета.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Затем к полученному реактиву добавляют по каплям желудочный сок. При отсутствии молочной кислоты реактив Уффельмана обесцвечивается. При наличии молочной кислоты фиолетовая окраска реактива Уффельмана изменяется на желто-зеленую (образуется лактат железа).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Появление молочной кислоты может быть обусловлено резким снижением свободной HCl (гипохлоргидрия), либо полным её отсутствием (ахлоргидрия).</w:t>
      </w:r>
    </w:p>
    <w:p>
      <w:pPr>
        <w:tabs>
          <w:tab w:val="left" w:pos="720" w:leader="none"/>
        </w:tabs>
        <w:ind w:left="720"/>
        <w:rPr>
          <w:b w:val="1"/>
          <w:sz w:val="28"/>
        </w:rPr>
      </w:pPr>
    </w:p>
    <w:p>
      <w:pPr>
        <w:tabs>
          <w:tab w:val="left" w:pos="720" w:leader="none"/>
        </w:tabs>
        <w:ind w:left="720"/>
        <w:rPr>
          <w:b w:val="1"/>
          <w:sz w:val="28"/>
        </w:rPr>
      </w:pPr>
      <w:r>
        <w:rPr>
          <w:b w:val="1"/>
          <w:sz w:val="28"/>
        </w:rPr>
        <w:t>Протокол качественного анализа желудочного сока</w:t>
      </w:r>
    </w:p>
    <w:p>
      <w:pPr>
        <w:numPr>
          <w:ilvl w:val="0"/>
          <w:numId w:val="1"/>
        </w:numPr>
        <w:ind w:firstLine="0" w:left="1134"/>
        <w:jc w:val="both"/>
        <w:rPr>
          <w:sz w:val="28"/>
        </w:rPr>
      </w:pPr>
      <w:r>
        <w:rPr>
          <w:sz w:val="28"/>
        </w:rPr>
        <w:t>реакция среды (по лакмусу);</w:t>
      </w:r>
    </w:p>
    <w:p>
      <w:pPr>
        <w:numPr>
          <w:ilvl w:val="0"/>
          <w:numId w:val="1"/>
        </w:numPr>
        <w:ind w:hanging="284" w:left="1418"/>
        <w:jc w:val="both"/>
        <w:rPr>
          <w:sz w:val="28"/>
        </w:rPr>
      </w:pPr>
      <w:r>
        <w:rPr>
          <w:sz w:val="28"/>
        </w:rPr>
        <w:t>рН – (по универсальному индикатору);</w:t>
      </w:r>
    </w:p>
    <w:p>
      <w:pPr>
        <w:numPr>
          <w:ilvl w:val="0"/>
          <w:numId w:val="1"/>
        </w:numPr>
        <w:ind w:left="2383"/>
        <w:jc w:val="both"/>
        <w:rPr>
          <w:sz w:val="28"/>
        </w:rPr>
      </w:pPr>
      <w:r>
        <w:rPr>
          <w:sz w:val="28"/>
        </w:rPr>
        <w:t>наличие свободной HCl:</w:t>
      </w:r>
    </w:p>
    <w:p>
      <w:pPr>
        <w:ind w:left="2100"/>
        <w:rPr>
          <w:sz w:val="28"/>
        </w:rPr>
      </w:pPr>
      <w:r>
        <w:rPr>
          <w:sz w:val="28"/>
        </w:rPr>
        <w:t>а) реакция с красным Конго;</w:t>
      </w:r>
    </w:p>
    <w:p>
      <w:pPr>
        <w:ind w:left="2100"/>
        <w:rPr>
          <w:sz w:val="28"/>
        </w:rPr>
      </w:pPr>
      <w:r>
        <w:rPr>
          <w:sz w:val="28"/>
        </w:rPr>
        <w:t>б) реакция с парадиметиламиноазобензолом.</w:t>
      </w:r>
    </w:p>
    <w:p>
      <w:pPr>
        <w:ind w:left="2100"/>
        <w:jc w:val="center"/>
        <w:rPr>
          <w:b w:val="1"/>
          <w:sz w:val="28"/>
        </w:rPr>
      </w:pPr>
      <w:r>
        <w:rPr>
          <w:b w:val="1"/>
          <w:sz w:val="28"/>
        </w:rPr>
        <w:t>Патологические компоненты:</w:t>
      </w:r>
    </w:p>
    <w:p>
      <w:pPr>
        <w:numPr>
          <w:ilvl w:val="0"/>
          <w:numId w:val="1"/>
        </w:numPr>
        <w:ind w:left="2383"/>
        <w:jc w:val="both"/>
        <w:rPr>
          <w:sz w:val="28"/>
        </w:rPr>
      </w:pPr>
      <w:r>
        <w:rPr>
          <w:sz w:val="28"/>
        </w:rPr>
        <w:t>молочная кислота (проба Уффельмана);</w:t>
      </w:r>
    </w:p>
    <w:p>
      <w:pPr>
        <w:numPr>
          <w:ilvl w:val="0"/>
          <w:numId w:val="1"/>
        </w:numPr>
        <w:ind w:left="2383"/>
        <w:jc w:val="both"/>
        <w:rPr>
          <w:sz w:val="28"/>
        </w:rPr>
      </w:pPr>
      <w:r>
        <w:rPr>
          <w:sz w:val="28"/>
        </w:rPr>
        <w:t>кровь (бензидиновая проба).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Вывод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/>
    <w:p>
      <w:pPr>
        <w:numPr>
          <w:ilvl w:val="0"/>
          <w:numId w:val="3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Повторить строение и функции белков.</w:t>
      </w:r>
    </w:p>
    <w:p>
      <w:pPr>
        <w:numPr>
          <w:ilvl w:val="0"/>
          <w:numId w:val="3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Повторить классификацию и общую характеристику ферментов класса гидролаз, подкласса пептидаз.</w:t>
      </w:r>
    </w:p>
    <w:p>
      <w:p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III. Решить ситуационные задачи.</w:t>
      </w:r>
    </w:p>
    <w:p>
      <w:pPr>
        <w:jc w:val="center"/>
        <w:rPr>
          <w:sz w:val="28"/>
        </w:rPr>
      </w:pPr>
      <w:r>
        <w:rPr>
          <w:sz w:val="28"/>
        </w:rPr>
        <w:t>№ 1</w:t>
      </w:r>
    </w:p>
    <w:p>
      <w:pPr>
        <w:pStyle w:val="P6"/>
        <w:ind w:firstLine="709"/>
        <w:rPr>
          <w:sz w:val="28"/>
        </w:rPr>
      </w:pPr>
      <w:r>
        <w:rPr>
          <w:sz w:val="28"/>
        </w:rPr>
        <w:t>При снижении секреторной функции желудка у больного с мочой выделяется повышенное количество индикана. Почему это происходит?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2</w:t>
      </w:r>
    </w:p>
    <w:p>
      <w:pPr>
        <w:pStyle w:val="P6"/>
        <w:ind w:firstLine="709"/>
        <w:rPr>
          <w:sz w:val="28"/>
        </w:rPr>
      </w:pPr>
      <w:r>
        <w:rPr>
          <w:sz w:val="28"/>
        </w:rPr>
        <w:t>Больному с заболеванием желудка назначен пепсин и соляная кислота. Чем обоснованы эти назначения врача?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 xml:space="preserve">№ 3 </w:t>
      </w:r>
    </w:p>
    <w:p>
      <w:pPr>
        <w:pStyle w:val="P6"/>
        <w:ind w:firstLine="709"/>
        <w:rPr>
          <w:sz w:val="28"/>
        </w:rPr>
      </w:pPr>
      <w:r>
        <w:rPr>
          <w:sz w:val="28"/>
        </w:rPr>
        <w:t>В испражнениях больного, страдающего хроническим атрофическим гастритом, обнаружено значительное количество не переваренных мышечных волокон (креаторея). Объясните, почему это происходит.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4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Известно, что суточная потребность в белках зависит от характера труда. У лиц, выполняющих тяжёлую физическую работу, потребность в белке достигает 120-150 г/сутки. Объясните взаимосвязь энергетических затрат и количества употребляемых с пищей белков. При этом необходимо учесть, что на долю белков приходится лишь 10-15% всех энергозатрат.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5</w:t>
      </w:r>
    </w:p>
    <w:p>
      <w:pPr>
        <w:ind w:firstLine="709"/>
        <w:jc w:val="both"/>
        <w:rPr>
          <w:color w:val="000000"/>
          <w:sz w:val="28"/>
        </w:rPr>
      </w:pPr>
      <w:r>
        <w:rPr>
          <w:sz w:val="28"/>
          <w:shd w:val="clear" w:fill="FFFFFF"/>
        </w:rPr>
        <w:t>Будут ли у пациента обнаруживаться признаки недостаточности аспартата в рационе, который богат аланином, но беден аспартатом? Дайте аргументированный ответ.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6"/>
        <w:numPr>
          <w:ilvl w:val="0"/>
          <w:numId w:val="4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jc w:val="center"/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0F440000">
      <w:start w:val="1"/>
      <w:numFmt w:val="decimal"/>
      <w:suff w:val="tab"/>
      <w:lvlText w:val="%1."/>
      <w:lvlJc w:val="left"/>
      <w:pPr/>
      <w:rPr/>
    </w:lvl>
    <w:lvl w:ilvl="2" w:tplc="50DC39FB">
      <w:start w:val="1"/>
      <w:numFmt w:val="decimal"/>
      <w:suff w:val="tab"/>
      <w:lvlText w:val="%1."/>
      <w:lvlJc w:val="left"/>
      <w:pPr/>
      <w:rPr/>
    </w:lvl>
    <w:lvl w:ilvl="3" w:tplc="5EF29857">
      <w:start w:val="1"/>
      <w:numFmt w:val="decimal"/>
      <w:suff w:val="tab"/>
      <w:lvlText w:val="%1."/>
      <w:lvlJc w:val="left"/>
      <w:pPr/>
      <w:rPr/>
    </w:lvl>
    <w:lvl w:ilvl="4" w:tplc="65DC92A4">
      <w:start w:val="1"/>
      <w:numFmt w:val="decimal"/>
      <w:suff w:val="tab"/>
      <w:lvlText w:val="%1."/>
      <w:lvlJc w:val="left"/>
      <w:pPr/>
      <w:rPr/>
    </w:lvl>
    <w:lvl w:ilvl="5" w:tplc="5459208C">
      <w:start w:val="1"/>
      <w:numFmt w:val="decimal"/>
      <w:suff w:val="tab"/>
      <w:lvlText w:val="%1."/>
      <w:lvlJc w:val="left"/>
      <w:pPr/>
      <w:rPr/>
    </w:lvl>
    <w:lvl w:ilvl="6" w:tplc="4805377B">
      <w:start w:val="1"/>
      <w:numFmt w:val="decimal"/>
      <w:suff w:val="tab"/>
      <w:lvlText w:val="%1."/>
      <w:lvlJc w:val="left"/>
      <w:pPr/>
      <w:rPr/>
    </w:lvl>
    <w:lvl w:ilvl="7" w:tplc="30DC43DA">
      <w:start w:val="1"/>
      <w:numFmt w:val="decimal"/>
      <w:suff w:val="tab"/>
      <w:lvlText w:val="%1."/>
      <w:lvlJc w:val="left"/>
      <w:pPr/>
      <w:rPr/>
    </w:lvl>
    <w:lvl w:ilvl="8" w:tplc="04DC8325">
      <w:start w:val="1"/>
      <w:numFmt w:val="decimal"/>
      <w:suff w:val="tab"/>
      <w:lvlText w:val="%1."/>
      <w:lvlJc w:val="left"/>
      <w:pPr/>
      <w:rPr/>
    </w:lvl>
  </w:abstractNum>
  <w:abstractNum w:abstractNumId="1">
    <w:nsid w:val="0F032213"/>
    <w:multiLevelType w:val="hybridMultilevel"/>
    <w:lvl w:ilvl="0">
      <w:start w:val="1"/>
      <w:numFmt w:val="upperRoman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4"/>
        <w:u w:val="none"/>
      </w:rPr>
    </w:lvl>
    <w:lvl w:ilvl="1" w:tplc="3A6F5124">
      <w:start w:val="1"/>
      <w:numFmt w:val="decimal"/>
      <w:suff w:val="tab"/>
      <w:lvlText w:val="%1."/>
      <w:lvlJc w:val="left"/>
      <w:pPr/>
      <w:rPr/>
    </w:lvl>
    <w:lvl w:ilvl="2" w:tplc="5E8BFB44">
      <w:start w:val="1"/>
      <w:numFmt w:val="decimal"/>
      <w:suff w:val="tab"/>
      <w:lvlText w:val="%1."/>
      <w:lvlJc w:val="left"/>
      <w:pPr/>
      <w:rPr/>
    </w:lvl>
    <w:lvl w:ilvl="3" w:tplc="723D3127">
      <w:start w:val="1"/>
      <w:numFmt w:val="decimal"/>
      <w:suff w:val="tab"/>
      <w:lvlText w:val="%1."/>
      <w:lvlJc w:val="left"/>
      <w:pPr/>
      <w:rPr/>
    </w:lvl>
    <w:lvl w:ilvl="4" w:tplc="38E4A9CF">
      <w:start w:val="1"/>
      <w:numFmt w:val="decimal"/>
      <w:suff w:val="tab"/>
      <w:lvlText w:val="%1."/>
      <w:lvlJc w:val="left"/>
      <w:pPr/>
      <w:rPr/>
    </w:lvl>
    <w:lvl w:ilvl="5" w:tplc="59C91493">
      <w:start w:val="1"/>
      <w:numFmt w:val="decimal"/>
      <w:suff w:val="tab"/>
      <w:lvlText w:val="%1."/>
      <w:lvlJc w:val="left"/>
      <w:pPr/>
      <w:rPr/>
    </w:lvl>
    <w:lvl w:ilvl="6" w:tplc="51A285C4">
      <w:start w:val="1"/>
      <w:numFmt w:val="decimal"/>
      <w:suff w:val="tab"/>
      <w:lvlText w:val="%1."/>
      <w:lvlJc w:val="left"/>
      <w:pPr/>
      <w:rPr/>
    </w:lvl>
    <w:lvl w:ilvl="7" w:tplc="543A7D61">
      <w:start w:val="1"/>
      <w:numFmt w:val="decimal"/>
      <w:suff w:val="tab"/>
      <w:lvlText w:val="%1."/>
      <w:lvlJc w:val="left"/>
      <w:pPr/>
      <w:rPr/>
    </w:lvl>
    <w:lvl w:ilvl="8" w:tplc="0DF61E1B">
      <w:start w:val="1"/>
      <w:numFmt w:val="decimal"/>
      <w:suff w:val="tab"/>
      <w:lvlText w:val="%1."/>
      <w:lvlJc w:val="left"/>
      <w:pPr/>
      <w:rPr/>
    </w:lvl>
  </w:abstractNum>
  <w:abstractNum w:abstractNumId="2">
    <w:nsid w:val="512530D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4C93EDA"/>
    <w:multiLevelType w:val="hybridMultilevel"/>
    <w:lvl w:ilvl="0" w:tplc="BBF08D58">
      <w:start w:val="2"/>
      <w:numFmt w:val="decimal"/>
      <w:suff w:val="tab"/>
      <w:lvlText w:val="%1."/>
      <w:lvlJc w:val="left"/>
      <w:pPr>
        <w:ind w:hanging="360" w:left="1860"/>
        <w:tabs>
          <w:tab w:val="left" w:pos="18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580"/>
        <w:tabs>
          <w:tab w:val="left" w:pos="258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300"/>
        <w:tabs>
          <w:tab w:val="left" w:pos="330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4020"/>
        <w:tabs>
          <w:tab w:val="left" w:pos="402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740"/>
        <w:tabs>
          <w:tab w:val="left" w:pos="474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460"/>
        <w:tabs>
          <w:tab w:val="left" w:pos="546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180"/>
        <w:tabs>
          <w:tab w:val="left" w:pos="618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900"/>
        <w:tabs>
          <w:tab w:val="left" w:pos="690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620"/>
        <w:tabs>
          <w:tab w:val="left" w:pos="7620" w:leader="none"/>
        </w:tabs>
      </w:pPr>
      <w:rPr/>
    </w:lvl>
  </w:abstractNum>
  <w:abstractNum w:abstractNumId="4">
    <w:nsid w:val="793539E2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>
        <w:b w:val="0"/>
      </w:rPr>
    </w:lvl>
    <w:lvl w:ilvl="1" w:tplc="64896B9B">
      <w:start w:val="1"/>
      <w:numFmt w:val="decimal"/>
      <w:suff w:val="tab"/>
      <w:lvlText w:val="%1."/>
      <w:lvlJc w:val="left"/>
      <w:pPr/>
      <w:rPr/>
    </w:lvl>
    <w:lvl w:ilvl="2" w:tplc="593B6F48">
      <w:start w:val="1"/>
      <w:numFmt w:val="decimal"/>
      <w:suff w:val="tab"/>
      <w:lvlText w:val="%1."/>
      <w:lvlJc w:val="left"/>
      <w:pPr/>
      <w:rPr/>
    </w:lvl>
    <w:lvl w:ilvl="3" w:tplc="3B431B75">
      <w:start w:val="1"/>
      <w:numFmt w:val="decimal"/>
      <w:suff w:val="tab"/>
      <w:lvlText w:val="%1."/>
      <w:lvlJc w:val="left"/>
      <w:pPr/>
      <w:rPr/>
    </w:lvl>
    <w:lvl w:ilvl="4" w:tplc="7D9578A2">
      <w:start w:val="1"/>
      <w:numFmt w:val="decimal"/>
      <w:suff w:val="tab"/>
      <w:lvlText w:val="%1."/>
      <w:lvlJc w:val="left"/>
      <w:pPr/>
      <w:rPr/>
    </w:lvl>
    <w:lvl w:ilvl="5" w:tplc="43155794">
      <w:start w:val="1"/>
      <w:numFmt w:val="decimal"/>
      <w:suff w:val="tab"/>
      <w:lvlText w:val="%1."/>
      <w:lvlJc w:val="left"/>
      <w:pPr/>
      <w:rPr/>
    </w:lvl>
    <w:lvl w:ilvl="6" w:tplc="6530E1BE">
      <w:start w:val="1"/>
      <w:numFmt w:val="decimal"/>
      <w:suff w:val="tab"/>
      <w:lvlText w:val="%1."/>
      <w:lvlJc w:val="left"/>
      <w:pPr/>
      <w:rPr/>
    </w:lvl>
    <w:lvl w:ilvl="7" w:tplc="0A8F909D">
      <w:start w:val="1"/>
      <w:numFmt w:val="decimal"/>
      <w:suff w:val="tab"/>
      <w:lvlText w:val="%1."/>
      <w:lvlJc w:val="left"/>
      <w:pPr/>
      <w:rPr/>
    </w:lvl>
    <w:lvl w:ilvl="8" w:tplc="4C79D8E3">
      <w:start w:val="1"/>
      <w:numFmt w:val="decimal"/>
      <w:suff w:val="tab"/>
      <w:lvlText w:val="%1."/>
      <w:lvlJc w:val="left"/>
      <w:pPr/>
      <w:rPr/>
    </w:lvl>
  </w:abstractNum>
  <w:abstractNum w:abstractNumId="5">
    <w:nsid w:val="7C5B768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heading 2"/>
    <w:basedOn w:val="P0"/>
    <w:next w:val="P0"/>
    <w:link w:val="C4"/>
    <w:qFormat/>
    <w:pPr>
      <w:keepNext w:val="1"/>
      <w:ind w:hanging="1276" w:left="1276"/>
      <w:jc w:val="center"/>
      <w:outlineLvl w:val="1"/>
    </w:pPr>
    <w:rPr>
      <w:i w:val="1"/>
      <w:sz w:val="24"/>
    </w:rPr>
  </w:style>
  <w:style w:type="paragraph" w:styleId="P3">
    <w:name w:val="heading 3"/>
    <w:basedOn w:val="P0"/>
    <w:next w:val="P0"/>
    <w:link w:val="C5"/>
    <w:qFormat/>
    <w:pPr>
      <w:keepNext w:val="1"/>
      <w:ind w:hanging="1843" w:left="1843"/>
      <w:jc w:val="center"/>
      <w:outlineLvl w:val="2"/>
    </w:pPr>
    <w:rPr>
      <w:i w:val="1"/>
      <w:sz w:val="24"/>
    </w:rPr>
  </w:style>
  <w:style w:type="paragraph" w:styleId="P4">
    <w:name w:val="heading 4"/>
    <w:basedOn w:val="P0"/>
    <w:next w:val="P0"/>
    <w:link w:val="C6"/>
    <w:qFormat/>
    <w:pPr>
      <w:keepNext w:val="1"/>
      <w:ind w:hanging="1560" w:left="1560"/>
      <w:jc w:val="center"/>
      <w:outlineLvl w:val="3"/>
    </w:pPr>
    <w:rPr>
      <w:i w:val="1"/>
      <w:sz w:val="24"/>
    </w:rPr>
  </w:style>
  <w:style w:type="paragraph" w:styleId="P5">
    <w:name w:val="Body Text Indent 2"/>
    <w:basedOn w:val="P0"/>
    <w:pPr>
      <w:ind w:hanging="1843" w:left="1843"/>
      <w:jc w:val="both"/>
    </w:pPr>
    <w:rPr>
      <w:sz w:val="24"/>
    </w:rPr>
  </w:style>
  <w:style w:type="paragraph" w:styleId="P6">
    <w:name w:val="Body Text"/>
    <w:basedOn w:val="P0"/>
    <w:link w:val="C7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Заголовок 2 Знак"/>
    <w:basedOn w:val="C0"/>
    <w:link w:val="P2"/>
    <w:rPr>
      <w:i w:val="1"/>
      <w:sz w:val="24"/>
    </w:rPr>
  </w:style>
  <w:style w:type="character" w:styleId="C5">
    <w:name w:val="Заголовок 3 Знак"/>
    <w:basedOn w:val="C0"/>
    <w:link w:val="P3"/>
    <w:rPr>
      <w:i w:val="1"/>
      <w:sz w:val="24"/>
    </w:rPr>
  </w:style>
  <w:style w:type="character" w:styleId="C6">
    <w:name w:val="Заголовок 4 Знак"/>
    <w:basedOn w:val="C0"/>
    <w:link w:val="P4"/>
    <w:rPr>
      <w:i w:val="1"/>
      <w:sz w:val="24"/>
    </w:rPr>
  </w:style>
  <w:style w:type="character" w:styleId="C7">
    <w:name w:val="Основной текст Знак"/>
    <w:basedOn w:val="C0"/>
    <w:link w:val="P6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