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AF56E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ЗАНЯТИЕ 2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Тема 5.2 «ОБЩИЕ ПУТИ КАТАБОЛИЗМА АМИНОКИСЛОТ»</w:t>
      </w:r>
    </w:p>
    <w:p>
      <w:pPr>
        <w:pStyle w:val="P2"/>
        <w:ind w:firstLine="709"/>
        <w:rPr>
          <w:sz w:val="28"/>
          <w:u w:val="single"/>
        </w:rPr>
      </w:pPr>
      <w:r>
        <w:rPr>
          <w:sz w:val="28"/>
          <w:u w:val="single"/>
        </w:rPr>
        <w:t>Обоснование темы.</w:t>
      </w:r>
      <w:r>
        <w:rPr>
          <w:sz w:val="28"/>
        </w:rPr>
        <w:t xml:space="preserve"> Знание особенностей внутриклеточного обмена аминокислот в тканях, исследование активности ряда ферментов, участвующих в этих процессах необходимы врачам для диагностики некоторых заболеваний печени, сердца и других органов.</w:t>
      </w:r>
    </w:p>
    <w:p>
      <w:pPr>
        <w:pStyle w:val="P2"/>
        <w:rPr>
          <w:sz w:val="28"/>
          <w:u w:val="single"/>
        </w:rPr>
      </w:pPr>
      <w:r>
        <w:rPr>
          <w:sz w:val="28"/>
          <w:u w:val="single"/>
        </w:rPr>
        <w:t>Цель занятия:</w:t>
      </w:r>
    </w:p>
    <w:p>
      <w:pPr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изучить аминокислотный фонд организма. Источники аминокислот, пути их использования;</w:t>
      </w:r>
    </w:p>
    <w:p>
      <w:pPr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 xml:space="preserve">знать общие пути катаболизма аминокислот (превращения по </w:t>
      </w:r>
      <w:r>
        <w:rPr>
          <w:rFonts w:ascii="Symbol" w:hAnsi="Symbol"/>
          <w:sz w:val="28"/>
        </w:rPr>
        <w:t></w:t>
      </w:r>
      <w:r>
        <w:rPr>
          <w:sz w:val="28"/>
        </w:rPr>
        <w:t xml:space="preserve">-аминогруппе); </w:t>
      </w:r>
    </w:p>
    <w:p>
      <w:pPr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 xml:space="preserve">знать характеристику основных ферментов, в процессах катаболизма аминокислот по </w:t>
      </w:r>
      <w:r>
        <w:rPr>
          <w:rFonts w:ascii="Symbol" w:hAnsi="Symbol"/>
          <w:sz w:val="28"/>
        </w:rPr>
        <w:t></w:t>
      </w:r>
      <w:r>
        <w:rPr>
          <w:sz w:val="28"/>
        </w:rPr>
        <w:t>-аминогруппе (глутаматдегидрогеназа, АLТ, АSТ);</w:t>
      </w:r>
    </w:p>
    <w:p>
      <w:pPr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знать общую характеристику и кофакторную функцию витамина В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(пиридоксина);</w:t>
      </w:r>
    </w:p>
    <w:p>
      <w:pPr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уметь определять содержание свободного аминного азота в сыворотке крови.</w:t>
      </w:r>
    </w:p>
    <w:p>
      <w:pPr>
        <w:jc w:val="both"/>
        <w:rPr>
          <w:sz w:val="28"/>
        </w:rPr>
      </w:pPr>
      <w:r>
        <w:rPr>
          <w:sz w:val="28"/>
          <w:u w:val="single"/>
        </w:rPr>
        <w:t>Необходимый исходный уровень.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Из курса биоорганической химии студенты должны знать понятия</w:t>
      </w:r>
    </w:p>
    <w:p>
      <w:pPr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трансаминирования,</w:t>
      </w:r>
    </w:p>
    <w:p>
      <w:pPr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 xml:space="preserve"> декарбоксилирования, </w:t>
      </w:r>
    </w:p>
    <w:p>
      <w:pPr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 xml:space="preserve">восстановительного аминирования </w:t>
      </w:r>
      <w:r>
        <w:rPr>
          <w:rFonts w:ascii="Symbol" w:hAnsi="Symbol"/>
          <w:sz w:val="28"/>
        </w:rPr>
        <w:t></w:t>
      </w:r>
      <w:r>
        <w:rPr>
          <w:sz w:val="28"/>
        </w:rPr>
        <w:t>кетокислот.</w:t>
      </w:r>
    </w:p>
    <w:p>
      <w:pPr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Общие и специфические пути катаболизма аминокислот. Трансаминирование и клинико-диагностическая роль трансаминаз. Окислительное дезаминирование и трансдезаминирование аминокислот.</w:t>
      </w:r>
    </w:p>
    <w:p>
      <w:pPr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Внутриклеточный распад белков - катепсины. Биологическое значение катепсинов. 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Аминокислотный фонд (пул) в живой клетке. Основные пути поступления и использования аминокислот в организме.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Пути распада аминокислот до конечных продуктов: превращения аминокислот по </w:t>
      </w:r>
      <w:r>
        <w:rPr>
          <w:rFonts w:ascii="Symbol" w:hAnsi="Symbol"/>
          <w:sz w:val="28"/>
        </w:rPr>
        <w:t></w:t>
      </w:r>
      <w:r>
        <w:rPr>
          <w:sz w:val="28"/>
        </w:rPr>
        <w:t>NH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группе, по </w:t>
      </w:r>
      <w:r>
        <w:rPr>
          <w:rFonts w:ascii="Symbol" w:hAnsi="Symbol"/>
          <w:sz w:val="28"/>
        </w:rPr>
        <w:t></w:t>
      </w:r>
      <w:r>
        <w:rPr>
          <w:sz w:val="28"/>
        </w:rPr>
        <w:t>СООН группе и по углеродному “скелету”.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Трансаминирование (переаминирование). Химизм процесса, характеристика ферментных систем (трансаминаз), кофакторная роль витамина В</w:t>
      </w:r>
      <w:r>
        <w:rPr>
          <w:sz w:val="28"/>
          <w:vertAlign w:val="subscript"/>
        </w:rPr>
        <w:t>6</w:t>
      </w:r>
      <w:r>
        <w:rPr>
          <w:sz w:val="28"/>
        </w:rPr>
        <w:t>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Роль пирувата, оксалоацетата и </w:t>
      </w:r>
      <w:r>
        <w:rPr>
          <w:rFonts w:ascii="Symbol" w:hAnsi="Symbol"/>
          <w:sz w:val="28"/>
        </w:rPr>
        <w:t></w:t>
      </w:r>
      <w:r>
        <w:rPr>
          <w:sz w:val="28"/>
        </w:rPr>
        <w:t>кетоглутарата в процессе трансаминирования. Коллекторная функция α– кетоглутарата и глутамата. Биологическое значение реакций трансаминирования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Аланиновая (АLТ) и аспарагиновая (АSТ) аминотрансферазы. Клиническое значение определения содержания трансаминаз в крови и тканях.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Дезаминирование аминокислот. Виды дезаминирования. Окислительное дезаминирование глутаминовой аминокислоты. Химизм процесса. Характеристика глутаматдегидрогеназы. Биологическая роль.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Трансдезаминирование аминокислот (непрямое дезаминирование). Роль </w:t>
      </w:r>
      <w:r>
        <w:rPr>
          <w:rFonts w:ascii="Symbol" w:hAnsi="Symbol"/>
          <w:sz w:val="28"/>
        </w:rPr>
        <w:t></w:t>
      </w:r>
      <w:r>
        <w:rPr>
          <w:sz w:val="28"/>
        </w:rPr>
        <w:t>кетоглутарата, глутамата в этом процессе. Биологическое значение процесса.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Судьба безазотистого остатка аминокислот (</w:t>
      </w:r>
      <w:r>
        <w:rPr>
          <w:rFonts w:ascii="Symbol" w:hAnsi="Symbol"/>
          <w:sz w:val="28"/>
        </w:rPr>
        <w:t></w:t>
      </w:r>
      <w:r>
        <w:rPr>
          <w:sz w:val="28"/>
        </w:rPr>
        <w:t xml:space="preserve">кетокислот). 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Гликогенные и кетогенные аминокислоты. Связь обмена аминокислот с ЦТК.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Декарбоксилирование аминокислот. Биогенные амины: серотонин, гистамин, </w:t>
      </w:r>
      <w:r>
        <w:rPr>
          <w:rFonts w:ascii="Symbol" w:hAnsi="Symbol"/>
          <w:sz w:val="28"/>
        </w:rPr>
        <w:t></w:t>
      </w:r>
      <w:r>
        <w:rPr>
          <w:sz w:val="28"/>
        </w:rPr>
        <w:t>аминомасляная кислота (ГАМК), дофамин. Обезвреживание биогенных аминов.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1</w:t>
      </w:r>
    </w:p>
    <w:p>
      <w:pPr>
        <w:ind w:hanging="3969" w:left="3969"/>
        <w:jc w:val="center"/>
        <w:rPr>
          <w:b w:val="1"/>
          <w:sz w:val="28"/>
        </w:rPr>
      </w:pPr>
      <w:r>
        <w:rPr>
          <w:b w:val="1"/>
          <w:sz w:val="28"/>
        </w:rPr>
        <w:t>Определение свободного аминного азота в сыворотке крови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Свободный аминный азот представляет собой азот свободных аминокислот, содержащихся в сыворотке крови.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</w:t>
      </w:r>
      <w:r>
        <w:rPr>
          <w:sz w:val="28"/>
        </w:rPr>
        <w:t>: содержание азота определяется колориметрически по интенсивности окрашивания с нингидриновым реактивом.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</w:t>
      </w:r>
      <w:r>
        <w:rPr>
          <w:sz w:val="28"/>
        </w:rPr>
        <w:t xml:space="preserve">: </w:t>
      </w:r>
    </w:p>
    <w:p>
      <w:pPr>
        <w:jc w:val="both"/>
        <w:rPr>
          <w:sz w:val="28"/>
        </w:rPr>
      </w:pPr>
      <w:r>
        <w:rPr>
          <w:sz w:val="28"/>
        </w:rPr>
        <w:t>1. Осаждение белков.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- в пробирку к 0,5 мл сыворотки добавляют 0,5 мл 0,04 N раствора уксусной кислоты;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- пробирку помещают в кипящую водяную баню на 5 минут;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- охлаждают и центрифугируют 10 минут при 1500 оборотах;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- надосадочную жидкость сливают в чистую пробирку.</w:t>
      </w:r>
    </w:p>
    <w:p>
      <w:pPr>
        <w:jc w:val="both"/>
        <w:rPr>
          <w:sz w:val="28"/>
        </w:rPr>
      </w:pPr>
      <w:r>
        <w:rPr>
          <w:sz w:val="28"/>
        </w:rPr>
        <w:t>2. Реакция с нингидрином:</w:t>
      </w:r>
    </w:p>
    <w:p>
      <w:pPr>
        <w:ind w:hanging="180" w:left="900"/>
        <w:jc w:val="both"/>
        <w:rPr>
          <w:sz w:val="28"/>
        </w:rPr>
      </w:pPr>
      <w:r>
        <w:rPr>
          <w:sz w:val="28"/>
        </w:rPr>
        <w:t>- к 0,5 мл надосадочной жидкости добавляют 0,5 мл 1% раствора нингидрина;</w:t>
      </w:r>
    </w:p>
    <w:p>
      <w:pPr>
        <w:ind w:hanging="180" w:left="900"/>
        <w:jc w:val="both"/>
        <w:rPr>
          <w:sz w:val="28"/>
        </w:rPr>
      </w:pPr>
      <w:r>
        <w:rPr>
          <w:sz w:val="28"/>
        </w:rPr>
        <w:t>- пробирку закрывают фольгой и помещают на 20 минут в кипящую водяную баню;</w:t>
      </w:r>
    </w:p>
    <w:p>
      <w:pPr>
        <w:ind w:hanging="180" w:left="900"/>
        <w:rPr>
          <w:sz w:val="28"/>
        </w:rPr>
      </w:pPr>
      <w:r>
        <w:rPr>
          <w:sz w:val="28"/>
        </w:rPr>
        <w:t>- пробирку охлаждают, и объем содержимого доводят до 10 мл;</w:t>
      </w:r>
    </w:p>
    <w:p>
      <w:pPr>
        <w:ind w:hanging="180" w:left="900"/>
        <w:rPr>
          <w:sz w:val="28"/>
        </w:rPr>
      </w:pPr>
      <w:r>
        <w:rPr>
          <w:sz w:val="28"/>
        </w:rPr>
        <w:t>- определяют оптическую плотность пробы на ФЭКе в кювете на 5 мм при зеленом светофильтре. Расчет производят по калибровочному графику.</w:t>
      </w:r>
    </w:p>
    <w:p>
      <w:pPr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Клинико-диагностическое значение</w:t>
      </w:r>
      <w:r>
        <w:rPr>
          <w:sz w:val="28"/>
        </w:rPr>
        <w:t>: В норме количество аминного азота составляет в среднем 2,9 мг%. Увеличение аминокислот в крови наблюдается при печеночной коме, гепатите, острой желтой атрофии печени, при отравлении фосфором, четыреххлористым углеродом, хлороформом, при квашиоркоре. Уменьшение уровня аминокислот наблюдается при нефрозах, после введения инсулина, гормона роста, андрогенов.</w:t>
      </w: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pStyle w:val="P2"/>
        <w:rPr>
          <w:sz w:val="28"/>
        </w:rPr>
      </w:pPr>
      <w:r>
        <w:rPr>
          <w:sz w:val="28"/>
        </w:rPr>
        <w:t>1.Повторить химическое строение, свойства, кофакторную функцию витамина В</w:t>
      </w:r>
      <w:r>
        <w:rPr>
          <w:sz w:val="28"/>
          <w:vertAlign w:val="subscript"/>
        </w:rPr>
        <w:t>6</w:t>
      </w:r>
      <w:r>
        <w:rPr>
          <w:sz w:val="28"/>
        </w:rPr>
        <w:t>, признаки гипо - и авитаминоза для этого витамина.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2. В тетради изобразить схему основных путей поступления и использования аминокислот в организме человека.</w:t>
      </w:r>
    </w:p>
    <w:p>
      <w:pPr>
        <w:jc w:val="both"/>
        <w:rPr>
          <w:sz w:val="28"/>
        </w:rPr>
      </w:pPr>
      <w:r>
        <w:rPr>
          <w:sz w:val="28"/>
        </w:rPr>
        <w:t>3. Решить ситуационные задачи.</w:t>
      </w:r>
    </w:p>
    <w:p>
      <w:pPr>
        <w:jc w:val="center"/>
        <w:rPr>
          <w:sz w:val="28"/>
        </w:rPr>
      </w:pPr>
      <w:r>
        <w:rPr>
          <w:sz w:val="28"/>
        </w:rPr>
        <w:t>№ 1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Когда человек переходит на рацион с высоким содержанием белка, у него повышается потребность в витамине В</w:t>
      </w:r>
      <w:r>
        <w:rPr>
          <w:sz w:val="28"/>
          <w:vertAlign w:val="subscript"/>
        </w:rPr>
        <w:t>6</w:t>
      </w:r>
      <w:r>
        <w:rPr>
          <w:sz w:val="28"/>
        </w:rPr>
        <w:t>. Дайте возможное объяснение этому явлению, учитывая участие данного витамина в работе пиридоксальфосфат-зависимых ферментов (ПАЛФ).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2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У пациента с подозрением на инфаркт миокарда определяли активность АLТ и АSТ в крови. Активность какой из аминотрансфераз увеличится в большей степени при такой патологии и почему? Назовите другие ферменты, активность которых определяют в крови для подтверждения указанной патологии. При ответе на вопрос: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 а) напишите реакции, которые катализируют АLТ и АSТ;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б) объясните значение этих реакций в метаболизме аминокислот.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3</w:t>
      </w:r>
    </w:p>
    <w:p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При обследовании работников объединения «Химчистка» у одной из работниц было обнаружено увеличение активности АLТ в крови в 5,8 , а АSТ в 1,5 раза. Обсуждая эти результаты, ординатор А. предположил, что активация ферментов связана с тем, что работница накануне анализов получила с пищей избыток мясных продуктов, и решил, что особых причин для беспокойства нет, а нужно сделать повторный анализ. Ординатор Б. предположил у этой работницы поражение печени органическими растворителями. Кто из ординаторов прав и почему?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4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При дефиците витамина В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у детей возникают судороги, которые довольно быстро исчезают при парэнтеральном введении пиридоксина. Имеется ли связь между дефицитом витамина В</w:t>
      </w:r>
      <w:r>
        <w:rPr>
          <w:sz w:val="28"/>
          <w:vertAlign w:val="subscript"/>
        </w:rPr>
        <w:t>6</w:t>
      </w:r>
      <w:r>
        <w:rPr>
          <w:sz w:val="28"/>
        </w:rPr>
        <w:t>, нарушением метаболизма аминокислот и возникающими судорогами?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4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Северина.-М.:ГЭОТАР-Медиа, 2012.-624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Березов, Т.Т. Биохимия [Текст]: учебник / Т.Т. Березов, Б.Ф. Коровкин.-М.: Медицина,2007.-  704 с.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[Текст]: учебник для мед. вузов / Е.С. Северин [и др.]. – М.: МИА,2008.-368 с.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pPr>
        <w:jc w:val="center"/>
        <w:rPr>
          <w:b w:val="1"/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231112E9">
      <w:start w:val="1"/>
      <w:numFmt w:val="decimal"/>
      <w:suff w:val="tab"/>
      <w:lvlText w:val="%1."/>
      <w:lvlJc w:val="left"/>
      <w:pPr/>
      <w:rPr/>
    </w:lvl>
    <w:lvl w:ilvl="2" w:tplc="0E361BD3">
      <w:start w:val="1"/>
      <w:numFmt w:val="decimal"/>
      <w:suff w:val="tab"/>
      <w:lvlText w:val="%1."/>
      <w:lvlJc w:val="left"/>
      <w:pPr/>
      <w:rPr/>
    </w:lvl>
    <w:lvl w:ilvl="3" w:tplc="087689A2">
      <w:start w:val="1"/>
      <w:numFmt w:val="decimal"/>
      <w:suff w:val="tab"/>
      <w:lvlText w:val="%1."/>
      <w:lvlJc w:val="left"/>
      <w:pPr/>
      <w:rPr/>
    </w:lvl>
    <w:lvl w:ilvl="4" w:tplc="2664F832">
      <w:start w:val="1"/>
      <w:numFmt w:val="decimal"/>
      <w:suff w:val="tab"/>
      <w:lvlText w:val="%1."/>
      <w:lvlJc w:val="left"/>
      <w:pPr/>
      <w:rPr/>
    </w:lvl>
    <w:lvl w:ilvl="5" w:tplc="0792946E">
      <w:start w:val="1"/>
      <w:numFmt w:val="decimal"/>
      <w:suff w:val="tab"/>
      <w:lvlText w:val="%1."/>
      <w:lvlJc w:val="left"/>
      <w:pPr/>
      <w:rPr/>
    </w:lvl>
    <w:lvl w:ilvl="6" w:tplc="45D9D9EA">
      <w:start w:val="1"/>
      <w:numFmt w:val="decimal"/>
      <w:suff w:val="tab"/>
      <w:lvlText w:val="%1."/>
      <w:lvlJc w:val="left"/>
      <w:pPr/>
      <w:rPr/>
    </w:lvl>
    <w:lvl w:ilvl="7" w:tplc="311659EE">
      <w:start w:val="1"/>
      <w:numFmt w:val="decimal"/>
      <w:suff w:val="tab"/>
      <w:lvlText w:val="%1."/>
      <w:lvlJc w:val="left"/>
      <w:pPr/>
      <w:rPr/>
    </w:lvl>
    <w:lvl w:ilvl="8" w:tplc="4E0582F8">
      <w:start w:val="1"/>
      <w:numFmt w:val="decimal"/>
      <w:suff w:val="tab"/>
      <w:lvlText w:val="%1."/>
      <w:lvlJc w:val="left"/>
      <w:pPr/>
      <w:rPr/>
    </w:lvl>
  </w:abstractNum>
  <w:abstractNum w:abstractNumId="1">
    <w:nsid w:val="39DB52D0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360"/>
      </w:pPr>
      <w:rPr/>
    </w:lvl>
    <w:lvl w:ilvl="1" w:tplc="51F0DEF7">
      <w:start w:val="1"/>
      <w:numFmt w:val="decimal"/>
      <w:suff w:val="tab"/>
      <w:lvlText w:val="%1."/>
      <w:lvlJc w:val="left"/>
      <w:pPr/>
      <w:rPr/>
    </w:lvl>
    <w:lvl w:ilvl="2" w:tplc="25610BC3">
      <w:start w:val="1"/>
      <w:numFmt w:val="decimal"/>
      <w:suff w:val="tab"/>
      <w:lvlText w:val="%1."/>
      <w:lvlJc w:val="left"/>
      <w:pPr/>
      <w:rPr/>
    </w:lvl>
    <w:lvl w:ilvl="3" w:tplc="1510F421">
      <w:start w:val="1"/>
      <w:numFmt w:val="decimal"/>
      <w:suff w:val="tab"/>
      <w:lvlText w:val="%1."/>
      <w:lvlJc w:val="left"/>
      <w:pPr/>
      <w:rPr/>
    </w:lvl>
    <w:lvl w:ilvl="4" w:tplc="1D23AF3F">
      <w:start w:val="1"/>
      <w:numFmt w:val="decimal"/>
      <w:suff w:val="tab"/>
      <w:lvlText w:val="%1."/>
      <w:lvlJc w:val="left"/>
      <w:pPr/>
      <w:rPr/>
    </w:lvl>
    <w:lvl w:ilvl="5" w:tplc="3B7950EB">
      <w:start w:val="1"/>
      <w:numFmt w:val="decimal"/>
      <w:suff w:val="tab"/>
      <w:lvlText w:val="%1."/>
      <w:lvlJc w:val="left"/>
      <w:pPr/>
      <w:rPr/>
    </w:lvl>
    <w:lvl w:ilvl="6" w:tplc="4DE55C50">
      <w:start w:val="1"/>
      <w:numFmt w:val="decimal"/>
      <w:suff w:val="tab"/>
      <w:lvlText w:val="%1."/>
      <w:lvlJc w:val="left"/>
      <w:pPr/>
      <w:rPr/>
    </w:lvl>
    <w:lvl w:ilvl="7" w:tplc="10490080">
      <w:start w:val="1"/>
      <w:numFmt w:val="decimal"/>
      <w:suff w:val="tab"/>
      <w:lvlText w:val="%1."/>
      <w:lvlJc w:val="left"/>
      <w:pPr/>
      <w:rPr/>
    </w:lvl>
    <w:lvl w:ilvl="8" w:tplc="7E48442A">
      <w:start w:val="1"/>
      <w:numFmt w:val="decimal"/>
      <w:suff w:val="tab"/>
      <w:lvlText w:val="%1."/>
      <w:lvlJc w:val="left"/>
      <w:pPr/>
      <w:rPr/>
    </w:lvl>
  </w:abstractNum>
  <w:abstractNum w:abstractNumId="2">
    <w:nsid w:val="488317B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73095EE0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