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610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ЗАНЯТИЕ 4 </w:t>
      </w:r>
    </w:p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>Тема 3.4: «</w:t>
      </w:r>
      <w:r>
        <w:rPr>
          <w:b w:val="1"/>
          <w:caps w:val="1"/>
          <w:sz w:val="28"/>
        </w:rPr>
        <w:t xml:space="preserve">Обмен и функции углеводов» </w:t>
      </w:r>
    </w:p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РУБЕЖНЫЙ КОНТРОЛЬ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  <w:u w:val="single"/>
        </w:rPr>
        <w:t>Обоснование темы</w:t>
      </w:r>
      <w:r>
        <w:rPr>
          <w:sz w:val="28"/>
        </w:rPr>
        <w:t>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Обобщение материала по разделу «Обмен и функции углеводов» необходимо для углубления и систематизации знаний по данному разделу, что является чрезвычайно важным для будущего врача при изучении патогенетических основ метаболических нарушений.</w:t>
      </w:r>
    </w:p>
    <w:p>
      <w:pPr>
        <w:spacing w:lineRule="auto" w:line="360" w:beforeAutospacing="0" w:afterAutospacing="0"/>
        <w:ind w:firstLine="720"/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</w:t>
      </w:r>
      <w:r>
        <w:rPr>
          <w:caps w:val="1"/>
          <w:sz w:val="28"/>
          <w:u w:val="single"/>
        </w:rPr>
        <w:t xml:space="preserve"> </w:t>
      </w:r>
    </w:p>
    <w:p>
      <w:pPr>
        <w:spacing w:lineRule="auto" w:line="360" w:beforeAutospacing="0" w:afterAutospacing="0"/>
        <w:ind w:left="720"/>
        <w:jc w:val="both"/>
        <w:rPr>
          <w:sz w:val="28"/>
        </w:rPr>
      </w:pPr>
      <w:r>
        <w:rPr>
          <w:sz w:val="28"/>
        </w:rPr>
        <w:t>1. Знать важнейшие биохимические процессы в обмене углеводов; методы их оценки в лабораторных условиях; нарушение обмена и возможности коррекции.</w:t>
      </w:r>
    </w:p>
    <w:p>
      <w:pPr>
        <w:spacing w:lineRule="auto" w:line="360" w:beforeAutospacing="0" w:afterAutospacing="0"/>
        <w:ind w:left="720"/>
        <w:jc w:val="both"/>
        <w:rPr>
          <w:sz w:val="28"/>
        </w:rPr>
      </w:pPr>
      <w:r>
        <w:rPr>
          <w:sz w:val="28"/>
        </w:rPr>
        <w:t>2. Уметь применять полученные знания при решении ситуационных задач.</w:t>
      </w:r>
    </w:p>
    <w:p>
      <w:pPr>
        <w:spacing w:lineRule="auto" w:line="360" w:beforeAutospacing="0" w:afterAutospacing="0"/>
        <w:ind w:left="800"/>
        <w:jc w:val="both"/>
        <w:rPr>
          <w:sz w:val="28"/>
        </w:rPr>
      </w:pPr>
      <w:r>
        <w:rPr>
          <w:sz w:val="28"/>
        </w:rPr>
        <w:t xml:space="preserve">3. Закрепить знания по теме «Обмен и функции углеводов» путем проведения тестового контроля и решения ситуационных задач. </w:t>
      </w:r>
    </w:p>
    <w:p>
      <w:pPr>
        <w:spacing w:lineRule="auto" w:line="360" w:beforeAutospacing="0" w:afterAutospacing="0"/>
        <w:ind w:left="720"/>
        <w:jc w:val="both"/>
        <w:rPr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Физиологическая роль углеводов. Пищевые источники. Потребность организма в углеводах.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Этапы обмена углеводов.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Переваривание углеводов в желудочно-кишечном тракте.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Пути использования и источники глюкозы в организме.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Роль печени в обмене углеводов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   а) механизм синтеза гликогена из глюкозы (гликогеногенез)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   б) механизм распада гликогена до глюкозы (фосфоролиз гликогена)</w:t>
      </w:r>
    </w:p>
    <w:p>
      <w:pPr>
        <w:numPr>
          <w:ilvl w:val="0"/>
          <w:numId w:val="2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Глюкоза крови. Регуляция уровня глюкозы в крови. Роль адреналина, глюкагона, инсулина.</w:t>
        <w:tab/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 xml:space="preserve">Гипо- и гипергликемия и их возможные причины. 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Глюкозурия. Понятие о почечном пороге для глюкозы крови.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 xml:space="preserve">Клиническое значение количественного определения содержания глюкозы  крови, качественного и количественного определения глюкозы в моче.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Механизм внутриклеточного окисления глюкозы и гликогена.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Дихотомическое анаэробное окисление углеводов (гликолиз, гликогенолиз).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 xml:space="preserve">Характеристика и химизм этапов анаэробного гликолиза. 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Судьба восстановленного НАДН·Н</w:t>
      </w:r>
      <w:r>
        <w:rPr>
          <w:sz w:val="28"/>
          <w:vertAlign w:val="superscript"/>
        </w:rPr>
        <w:t>+</w:t>
      </w:r>
      <w:r>
        <w:rPr>
          <w:sz w:val="28"/>
        </w:rPr>
        <w:t>, образовавшегося на стадии окисления 3-ФГА в анаэробных условиях. ПВК - временный акцептор ē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 Н</w:t>
      </w:r>
      <w:r>
        <w:rPr>
          <w:sz w:val="28"/>
          <w:vertAlign w:val="superscript"/>
        </w:rPr>
        <w:t>+</w:t>
      </w:r>
      <w:r>
        <w:rPr>
          <w:sz w:val="28"/>
        </w:rPr>
        <w:t>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Судьба лактата в организме. Цикл Кори.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Энергетический эффект гликолиза. Механизм образования АТФ (реакции гликолиза, сопряженные с синтезом АТФ).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Ключевые ферменты гликолиза (гексокиназа, фосфофруктокиназа, пируваткиназа). Аллостерическая регуляция гликолиза.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Гликогенолиз. Химизм этапов. Энергетический эффект.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Аэробное окисление углеводов. Общность путей анаэробного и аэробного окисления. Характеристика фаз аэробного окисления глюкозы. Пируват- общий ключевой метаболит.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Судьба восстановленного НАДН∙Н</w:t>
      </w:r>
      <w:r>
        <w:rPr>
          <w:sz w:val="28"/>
          <w:vertAlign w:val="superscript"/>
        </w:rPr>
        <w:t>+</w:t>
      </w:r>
      <w:r>
        <w:rPr>
          <w:sz w:val="28"/>
        </w:rPr>
        <w:t>, образовавшегося на стадии окисления 3-ФГА в аэробных условиях. Челночные механизмы переноса водорода из цитозоля в митохондрии (малат-аспартатный и глицерофосфатный челночные механизмы).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Энергетический эффект аэробного окисления глюкозы.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Внутриклеточный обмен других моносахаридов: фруктозы и галактозы.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Понятие о пентозофосфатном пути превращения глюкозы (общая характеристика) и биологическая роль.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Окислительная стадия пентозофосфатного окисления глюкозы. Химизм и суммарное уравнение.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Характеристика неокислительного этапа пентозофосфатного окисления глюкозы.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Глюконеогенез. Субстраты глюконеогенеза и его биологическая роль.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Обходные пути глюконеогенеза (пируваткарбоксилазная и ФЭП-карбоксикиназная реакции; фруктозо-1,6-дифосфатазная реакция, глюкозо-6-фосфатазная реакции).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 xml:space="preserve">Взаимосвязь гликолиза и глюконеогенеза. Цикл Кори. </w:t>
      </w:r>
    </w:p>
    <w:p>
      <w:pPr>
        <w:numPr>
          <w:ilvl w:val="0"/>
          <w:numId w:val="3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Наследственные нарушения обмена углеводов: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а) наследственные нарушения обмена дисахаридов: сахарозы и лактозы;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б) эссенциальная фруктоземия и наследственная непереносимость фруктозы;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в) гликогенозы (болезнь Гирке, болезнь Кори, болезнь Андерсена, Мак - Ардля)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    г) галактоземия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30. Сахарный диабет. Биохимические подходы к лечению и профилактике сахарного диабета. Сахарозаменители.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spacing w:lineRule="auto" w:line="360" w:beforeAutospacing="0" w:afterAutospacing="0"/>
        <w:ind w:firstLine="720"/>
        <w:rPr>
          <w:b w:val="1"/>
          <w:sz w:val="28"/>
        </w:rPr>
      </w:pPr>
      <w:r>
        <w:rPr>
          <w:b w:val="1"/>
          <w:sz w:val="28"/>
        </w:rPr>
        <w:t>Контрольные точки</w:t>
      </w:r>
    </w:p>
    <w:p>
      <w:pPr>
        <w:spacing w:lineRule="auto" w:line="360" w:beforeAutospacing="0" w:afterAutospacing="0"/>
        <w:ind w:firstLine="720"/>
        <w:jc w:val="both"/>
        <w:rPr>
          <w:b w:val="1"/>
          <w:sz w:val="28"/>
        </w:rPr>
      </w:pPr>
      <w:r>
        <w:rPr>
          <w:b w:val="1"/>
          <w:sz w:val="28"/>
        </w:rPr>
        <w:t>1.Тестовый контроль</w:t>
      </w:r>
    </w:p>
    <w:p>
      <w:pPr>
        <w:spacing w:lineRule="auto" w:line="360" w:beforeAutospacing="0" w:afterAutospacing="0"/>
        <w:ind w:firstLine="720"/>
        <w:jc w:val="both"/>
        <w:rPr>
          <w:b w:val="1"/>
          <w:sz w:val="28"/>
        </w:rPr>
      </w:pPr>
      <w:r>
        <w:rPr>
          <w:b w:val="1"/>
          <w:sz w:val="28"/>
        </w:rPr>
        <w:t>2.Опрос по теме «Обмен и функции углеводов»</w:t>
      </w:r>
    </w:p>
    <w:p>
      <w:pPr>
        <w:spacing w:lineRule="auto" w:line="360" w:beforeAutospacing="0" w:afterAutospacing="0"/>
        <w:ind w:firstLine="720"/>
        <w:jc w:val="both"/>
        <w:rPr>
          <w:b w:val="1"/>
          <w:sz w:val="28"/>
        </w:rPr>
      </w:pPr>
      <w:r>
        <w:rPr>
          <w:b w:val="1"/>
          <w:sz w:val="28"/>
        </w:rPr>
        <w:t>3.Решение ситуационных задач</w:t>
      </w:r>
    </w:p>
    <w:p>
      <w:pPr>
        <w:spacing w:lineRule="auto" w:line="360" w:beforeAutospacing="0" w:afterAutospacing="0"/>
        <w:ind w:left="360"/>
        <w:jc w:val="both"/>
        <w:rPr>
          <w:sz w:val="28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7A7CC4"/>
    <w:multiLevelType w:val="hybridMultilevel"/>
    <w:lvl w:ilvl="0">
      <w:start w:val="6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6"/>
        <w:u w:val="none"/>
      </w:rPr>
    </w:lvl>
    <w:lvl w:ilvl="1" w:tplc="2D98BF7C">
      <w:start w:val="1"/>
      <w:numFmt w:val="decimal"/>
      <w:suff w:val="tab"/>
      <w:lvlText w:val="%1."/>
      <w:lvlJc w:val="left"/>
      <w:pPr/>
      <w:rPr/>
    </w:lvl>
    <w:lvl w:ilvl="2" w:tplc="5D231A7D">
      <w:start w:val="1"/>
      <w:numFmt w:val="decimal"/>
      <w:suff w:val="tab"/>
      <w:lvlText w:val="%1."/>
      <w:lvlJc w:val="left"/>
      <w:pPr/>
      <w:rPr/>
    </w:lvl>
    <w:lvl w:ilvl="3" w:tplc="00F8A619">
      <w:start w:val="1"/>
      <w:numFmt w:val="decimal"/>
      <w:suff w:val="tab"/>
      <w:lvlText w:val="%1."/>
      <w:lvlJc w:val="left"/>
      <w:pPr/>
      <w:rPr/>
    </w:lvl>
    <w:lvl w:ilvl="4" w:tplc="3AD52611">
      <w:start w:val="1"/>
      <w:numFmt w:val="decimal"/>
      <w:suff w:val="tab"/>
      <w:lvlText w:val="%1."/>
      <w:lvlJc w:val="left"/>
      <w:pPr/>
      <w:rPr/>
    </w:lvl>
    <w:lvl w:ilvl="5" w:tplc="75BF99B9">
      <w:start w:val="1"/>
      <w:numFmt w:val="decimal"/>
      <w:suff w:val="tab"/>
      <w:lvlText w:val="%1."/>
      <w:lvlJc w:val="left"/>
      <w:pPr/>
      <w:rPr/>
    </w:lvl>
    <w:lvl w:ilvl="6" w:tplc="15279914">
      <w:start w:val="1"/>
      <w:numFmt w:val="decimal"/>
      <w:suff w:val="tab"/>
      <w:lvlText w:val="%1."/>
      <w:lvlJc w:val="left"/>
      <w:pPr/>
      <w:rPr/>
    </w:lvl>
    <w:lvl w:ilvl="7" w:tplc="0A3A3424">
      <w:start w:val="1"/>
      <w:numFmt w:val="decimal"/>
      <w:suff w:val="tab"/>
      <w:lvlText w:val="%1."/>
      <w:lvlJc w:val="left"/>
      <w:pPr/>
      <w:rPr/>
    </w:lvl>
    <w:lvl w:ilvl="8" w:tplc="175464EE">
      <w:start w:val="1"/>
      <w:numFmt w:val="decimal"/>
      <w:suff w:val="tab"/>
      <w:lvlText w:val="%1."/>
      <w:lvlJc w:val="left"/>
      <w:pPr/>
      <w:rPr/>
    </w:lvl>
  </w:abstractNum>
  <w:abstractNum w:abstractNumId="1">
    <w:nsid w:val="4FAA7AFD"/>
    <w:multiLevelType w:val="hybridMultilevel"/>
    <w:lvl w:ilvl="0">
      <w:start w:val="1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6"/>
        <w:u w:val="none"/>
      </w:rPr>
    </w:lvl>
    <w:lvl w:ilvl="1" w:tplc="688A2512">
      <w:start w:val="1"/>
      <w:numFmt w:val="decimal"/>
      <w:suff w:val="tab"/>
      <w:lvlText w:val="%1."/>
      <w:lvlJc w:val="left"/>
      <w:pPr/>
      <w:rPr/>
    </w:lvl>
    <w:lvl w:ilvl="2" w:tplc="10DC8B55">
      <w:start w:val="1"/>
      <w:numFmt w:val="decimal"/>
      <w:suff w:val="tab"/>
      <w:lvlText w:val="%1."/>
      <w:lvlJc w:val="left"/>
      <w:pPr/>
      <w:rPr/>
    </w:lvl>
    <w:lvl w:ilvl="3" w:tplc="176C1124">
      <w:start w:val="1"/>
      <w:numFmt w:val="decimal"/>
      <w:suff w:val="tab"/>
      <w:lvlText w:val="%1."/>
      <w:lvlJc w:val="left"/>
      <w:pPr/>
      <w:rPr/>
    </w:lvl>
    <w:lvl w:ilvl="4" w:tplc="4C236009">
      <w:start w:val="1"/>
      <w:numFmt w:val="decimal"/>
      <w:suff w:val="tab"/>
      <w:lvlText w:val="%1."/>
      <w:lvlJc w:val="left"/>
      <w:pPr/>
      <w:rPr/>
    </w:lvl>
    <w:lvl w:ilvl="5" w:tplc="4710669B">
      <w:start w:val="1"/>
      <w:numFmt w:val="decimal"/>
      <w:suff w:val="tab"/>
      <w:lvlText w:val="%1."/>
      <w:lvlJc w:val="left"/>
      <w:pPr/>
      <w:rPr/>
    </w:lvl>
    <w:lvl w:ilvl="6" w:tplc="5D53E919">
      <w:start w:val="1"/>
      <w:numFmt w:val="decimal"/>
      <w:suff w:val="tab"/>
      <w:lvlText w:val="%1."/>
      <w:lvlJc w:val="left"/>
      <w:pPr/>
      <w:rPr/>
    </w:lvl>
    <w:lvl w:ilvl="7" w:tplc="0559611E">
      <w:start w:val="1"/>
      <w:numFmt w:val="decimal"/>
      <w:suff w:val="tab"/>
      <w:lvlText w:val="%1."/>
      <w:lvlJc w:val="left"/>
      <w:pPr/>
      <w:rPr/>
    </w:lvl>
    <w:lvl w:ilvl="8" w:tplc="7DA046D3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 "/>
        <w:legacy w:legacy="1" w:legacyIndent="283" w:legacySpace="0"/>
        <w:lvlJc w:val="left"/>
        <w:pPr>
          <w:ind w:hanging="283" w:left="283"/>
        </w:pPr>
        <w:rPr>
          <w:rFonts w:ascii="Times New Roman" w:hAnsi="Times New Roman"/>
          <w:b w:val="0"/>
          <w:i w:val="0"/>
          <w:sz w:val="26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