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BA27E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3"/>
        <w:tabs>
          <w:tab w:val="left" w:pos="360" w:leader="none"/>
        </w:tabs>
        <w:rPr>
          <w:b w:val="1"/>
          <w:sz w:val="28"/>
        </w:rPr>
      </w:pPr>
      <w:r>
        <w:rPr>
          <w:b w:val="1"/>
          <w:sz w:val="28"/>
        </w:rPr>
        <w:t>ЗАНЯТИЕ 3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Тема 6.3 « РЕГУЛЯЦИЯ ВОДНО-МИНЕРАЛЬНОГО ОБМЕНА»</w:t>
      </w:r>
    </w:p>
    <w:p>
      <w:pPr>
        <w:pStyle w:val="P3"/>
        <w:ind w:hanging="1985" w:left="1985"/>
        <w:jc w:val="both"/>
        <w:rPr>
          <w:sz w:val="28"/>
        </w:rPr>
      </w:pPr>
      <w:r>
        <w:rPr>
          <w:sz w:val="28"/>
          <w:u w:val="single"/>
        </w:rPr>
        <w:t>Обоснование темы.</w:t>
      </w:r>
      <w:r>
        <w:rPr>
          <w:sz w:val="28"/>
        </w:rPr>
        <w:t xml:space="preserve"> 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Вода – это важнейшая составляющая живого организма. Большинство химических превращений, лежащих в основе жизнедеятельности организма, происходят в водной среде. При этом обмен воды в организме тесно взаимосвязан с обменом минеральных веществ, обладающих осмотической активностью, прежде всего с Na</w:t>
      </w:r>
      <w:r>
        <w:rPr>
          <w:sz w:val="28"/>
          <w:vertAlign w:val="superscript"/>
        </w:rPr>
        <w:t>+</w:t>
      </w:r>
      <w:r>
        <w:rPr>
          <w:sz w:val="28"/>
        </w:rPr>
        <w:t>. Минеральные вещества, подобно воде, не являются источниками энергии для организма, однако их значение для нормальной жизнедеятельности трудно переоценить. Знание механизмов регуляции водно-минерального обмена необходимо врачу в практической деятельности для коррекции состояния больного при целом ряде заболеваний, прежде всего почек, сердца и т.д.</w:t>
      </w:r>
    </w:p>
    <w:p>
      <w:pPr>
        <w:pStyle w:val="P3"/>
        <w:ind w:firstLine="709"/>
        <w:jc w:val="both"/>
        <w:rPr>
          <w:sz w:val="28"/>
        </w:rPr>
      </w:pPr>
    </w:p>
    <w:p>
      <w:pPr>
        <w:pStyle w:val="P3"/>
        <w:ind w:hanging="1985" w:left="1985"/>
        <w:jc w:val="both"/>
        <w:rPr>
          <w:sz w:val="28"/>
        </w:rPr>
      </w:pPr>
      <w:r>
        <w:rPr>
          <w:sz w:val="28"/>
          <w:u w:val="single"/>
        </w:rPr>
        <w:t>Цель занятия:</w:t>
      </w:r>
      <w:r>
        <w:rPr>
          <w:sz w:val="28"/>
        </w:rPr>
        <w:t xml:space="preserve"> </w:t>
      </w:r>
    </w:p>
    <w:p>
      <w:pPr>
        <w:pStyle w:val="P3"/>
        <w:ind w:hanging="426" w:left="426"/>
        <w:jc w:val="both"/>
        <w:rPr>
          <w:sz w:val="28"/>
        </w:rPr>
      </w:pPr>
      <w:r>
        <w:rPr>
          <w:sz w:val="28"/>
        </w:rPr>
        <w:t>1.Знать современные представления о биологической роли воды и минеральных веществ в организме человека.</w:t>
      </w:r>
    </w:p>
    <w:p>
      <w:pPr>
        <w:pStyle w:val="P3"/>
        <w:jc w:val="both"/>
        <w:rPr>
          <w:sz w:val="28"/>
        </w:rPr>
      </w:pPr>
      <w:r>
        <w:rPr>
          <w:sz w:val="28"/>
        </w:rPr>
        <w:t>2.Сформировать представления о современных механизмах регуляции водно-минерального обмена.</w:t>
      </w:r>
    </w:p>
    <w:p>
      <w:pPr>
        <w:pStyle w:val="P3"/>
        <w:jc w:val="both"/>
        <w:rPr>
          <w:sz w:val="28"/>
        </w:rPr>
      </w:pPr>
      <w:r>
        <w:rPr>
          <w:sz w:val="28"/>
        </w:rPr>
        <w:t>3. Знать проявления некоторых нарушений синтеза и секреции гормонов, регулирующих обмен кальция и фосфора (гипо- и гиперпаратиреоидизм, рахит).</w:t>
      </w:r>
    </w:p>
    <w:p>
      <w:pPr>
        <w:pStyle w:val="P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Познакомить с методом определения содержания кальция в сыворотке крови.</w:t>
      </w:r>
    </w:p>
    <w:p>
      <w:pPr>
        <w:pStyle w:val="P3"/>
        <w:ind w:hanging="1985" w:left="1985"/>
        <w:jc w:val="both"/>
        <w:rPr>
          <w:sz w:val="28"/>
        </w:rPr>
      </w:pPr>
      <w:r>
        <w:rPr>
          <w:sz w:val="28"/>
          <w:u w:val="single"/>
        </w:rPr>
        <w:t>Необходимый исходный уровень: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 xml:space="preserve"> Из курса бионеорганической и биоорганической химии студенты должны знать:</w:t>
      </w:r>
    </w:p>
    <w:p>
      <w:pPr>
        <w:pStyle w:val="P3"/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характеристику основных катионов и анионов Na</w:t>
      </w:r>
      <w:r>
        <w:rPr>
          <w:sz w:val="28"/>
          <w:vertAlign w:val="superscript"/>
        </w:rPr>
        <w:t>+</w:t>
      </w:r>
      <w:r>
        <w:rPr>
          <w:sz w:val="28"/>
        </w:rPr>
        <w:t>, K</w:t>
      </w:r>
      <w:r>
        <w:rPr>
          <w:sz w:val="28"/>
          <w:vertAlign w:val="superscript"/>
        </w:rPr>
        <w:t>+</w:t>
      </w:r>
      <w:r>
        <w:rPr>
          <w:sz w:val="28"/>
        </w:rPr>
        <w:t>, Ca</w:t>
      </w:r>
      <w:r>
        <w:rPr>
          <w:sz w:val="28"/>
          <w:vertAlign w:val="superscript"/>
        </w:rPr>
        <w:t>2+</w:t>
      </w:r>
      <w:r>
        <w:rPr>
          <w:sz w:val="28"/>
        </w:rPr>
        <w:t>, Mg</w:t>
      </w:r>
      <w:r>
        <w:rPr>
          <w:sz w:val="28"/>
          <w:vertAlign w:val="superscript"/>
        </w:rPr>
        <w:t>2+</w:t>
      </w:r>
      <w:r>
        <w:rPr>
          <w:sz w:val="28"/>
        </w:rPr>
        <w:t>, Cl־, HCO</w:t>
      </w:r>
      <w:r>
        <w:rPr>
          <w:sz w:val="28"/>
          <w:vertAlign w:val="subscript"/>
        </w:rPr>
        <w:t>3</w:t>
      </w:r>
      <w:r>
        <w:rPr>
          <w:sz w:val="28"/>
        </w:rPr>
        <w:t>־, фосфатов;</w:t>
      </w:r>
    </w:p>
    <w:p>
      <w:pPr>
        <w:pStyle w:val="P3"/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 xml:space="preserve"> строение витамина Д и его призводного - кальцитриола.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Из курса физиологии, анатомии, биофизики:</w:t>
      </w:r>
    </w:p>
    <w:p>
      <w:pPr>
        <w:pStyle w:val="P3"/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строение почек;</w:t>
      </w:r>
    </w:p>
    <w:p>
      <w:pPr>
        <w:pStyle w:val="P3"/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>механизмы ультрафильтрации и реабсорбции.</w:t>
      </w:r>
    </w:p>
    <w:p>
      <w:pPr>
        <w:pStyle w:val="P3"/>
        <w:numPr>
          <w:ilvl w:val="0"/>
          <w:numId w:val="1"/>
        </w:numPr>
        <w:ind w:left="283"/>
        <w:jc w:val="both"/>
        <w:rPr>
          <w:sz w:val="28"/>
        </w:rPr>
      </w:pPr>
      <w:r>
        <w:rPr>
          <w:sz w:val="28"/>
        </w:rPr>
        <w:t xml:space="preserve"> работу K</w:t>
      </w:r>
      <w:r>
        <w:rPr>
          <w:sz w:val="28"/>
          <w:vertAlign w:val="superscript"/>
        </w:rPr>
        <w:t>+</w:t>
      </w:r>
      <w:r>
        <w:rPr>
          <w:sz w:val="28"/>
        </w:rPr>
        <w:t>,Na</w:t>
      </w:r>
      <w:r>
        <w:rPr>
          <w:sz w:val="28"/>
          <w:vertAlign w:val="superscript"/>
        </w:rPr>
        <w:t>+</w:t>
      </w:r>
      <w:r>
        <w:rPr>
          <w:sz w:val="28"/>
        </w:rPr>
        <w:t>-ATФазы.</w:t>
      </w:r>
    </w:p>
    <w:p>
      <w:pPr>
        <w:pStyle w:val="P3"/>
        <w:jc w:val="both"/>
        <w:rPr>
          <w:sz w:val="28"/>
          <w:u w:val="single"/>
        </w:rPr>
      </w:pPr>
      <w:r>
        <w:rPr>
          <w:sz w:val="28"/>
          <w:u w:val="single"/>
        </w:rPr>
        <w:t>Основные понятия темы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 xml:space="preserve">Регуляция водно-солевого обмена. Система РАА и ее роль в регуляции обмена воды и электролитов. Регуляция фосфорно-кальциевого обмена: паратирин, кальцитриол, кальцитонин. </w:t>
      </w:r>
    </w:p>
    <w:p>
      <w:pPr>
        <w:pStyle w:val="P3"/>
        <w:rPr>
          <w:b w:val="1"/>
          <w:sz w:val="28"/>
        </w:rPr>
      </w:pP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 xml:space="preserve">ВОПРОСЫ К ЗАНЯТИЮ 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Электролитный состав биологических жидкостей. Основные внутри - и внеклеточные катионы и анионы (Na</w:t>
      </w:r>
      <w:r>
        <w:rPr>
          <w:sz w:val="28"/>
          <w:vertAlign w:val="superscript"/>
        </w:rPr>
        <w:t>+,</w:t>
      </w:r>
      <w:r>
        <w:rPr>
          <w:sz w:val="28"/>
        </w:rPr>
        <w:t xml:space="preserve"> K</w:t>
      </w:r>
      <w:r>
        <w:rPr>
          <w:sz w:val="28"/>
          <w:vertAlign w:val="superscript"/>
        </w:rPr>
        <w:t>+</w:t>
      </w:r>
      <w:r>
        <w:rPr>
          <w:sz w:val="28"/>
        </w:rPr>
        <w:t>, Mg</w:t>
      </w:r>
      <w:r>
        <w:rPr>
          <w:sz w:val="28"/>
          <w:vertAlign w:val="superscript"/>
        </w:rPr>
        <w:t>2+</w:t>
      </w:r>
      <w:r>
        <w:rPr>
          <w:sz w:val="28"/>
        </w:rPr>
        <w:t>, Cl־, HCO</w:t>
      </w:r>
      <w:r>
        <w:rPr>
          <w:sz w:val="28"/>
          <w:vertAlign w:val="subscript"/>
        </w:rPr>
        <w:t>3</w:t>
      </w:r>
      <w:r>
        <w:rPr>
          <w:sz w:val="28"/>
        </w:rPr>
        <w:t>־, фосфаты).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Роль вазопрессина и альдостерона в регуляции осмотического давления и объема внеклеточной жидкости.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Ренин-ангиотензин-альдостероновая система – важнейший фактор сохранения постоянства объема внеклеточной жидкости и крови.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Фосфорно-кальциевый обмен. Функции ионов Са</w:t>
      </w:r>
      <w:r>
        <w:rPr>
          <w:sz w:val="28"/>
          <w:vertAlign w:val="superscript"/>
        </w:rPr>
        <w:t xml:space="preserve">2+ </w:t>
      </w:r>
      <w:r>
        <w:rPr>
          <w:sz w:val="28"/>
        </w:rPr>
        <w:t>и Р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в тканях. Роль витамина Д в обмене кальция. Гормональная регуляция фосфорно-кальциевого обмена паратирином, кальцитонином и производным витамина Д - 1,25 – диоксихолекальциферолом (1,25-(ОН)</w:t>
      </w:r>
      <w:r>
        <w:rPr>
          <w:sz w:val="28"/>
          <w:vertAlign w:val="subscript"/>
        </w:rPr>
        <w:t>2</w:t>
      </w:r>
      <w:r>
        <w:rPr>
          <w:sz w:val="28"/>
        </w:rPr>
        <w:t>-Д</w:t>
      </w:r>
      <w:r>
        <w:rPr>
          <w:sz w:val="28"/>
          <w:vertAlign w:val="subscript"/>
        </w:rPr>
        <w:t>3</w:t>
      </w:r>
      <w:r>
        <w:rPr>
          <w:sz w:val="28"/>
        </w:rPr>
        <w:t>).</w:t>
      </w:r>
    </w:p>
    <w:p>
      <w:pPr>
        <w:pStyle w:val="P3"/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Нарушение фосфорно-кальциевого обмена при рахите.</w:t>
      </w:r>
    </w:p>
    <w:p>
      <w:pPr>
        <w:pStyle w:val="P3"/>
        <w:rPr>
          <w:b w:val="1"/>
          <w:sz w:val="28"/>
        </w:rPr>
      </w:pP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Лабораторная работа 1</w:t>
      </w:r>
    </w:p>
    <w:p>
      <w:pPr>
        <w:pStyle w:val="P3"/>
        <w:rPr>
          <w:b w:val="1"/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>Определение кальция в сыворотке крови мурексидным методом»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метода.</w:t>
      </w:r>
      <w:r>
        <w:rPr>
          <w:sz w:val="28"/>
        </w:rPr>
        <w:t xml:space="preserve"> Мурексид образует с ионами кальция в щелочной среде комплексное соединение, окрашенное в красно-фиолетовый или бледно-розовый цвет (в зависимости от концентрации кальция). При титровании раствором трилона Б этот комплекс разрушается, связанный мурексид освобождается, что приводит к появлению его натуральной окраски (фиолетовой или бледно-сиреневой).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  <w:u w:val="single"/>
        </w:rPr>
        <w:t>Ход работы:</w:t>
      </w:r>
      <w:r>
        <w:rPr>
          <w:sz w:val="28"/>
        </w:rPr>
        <w:t xml:space="preserve"> в маленькую колбу вносят 50 мл дистиллированной воды, 0,4 мл 9 N раствора NaOH и прибавляют на кончике ножа несколько крупинок мурексида. Тотчас появляется бледно-сиреневая окраска, обусловленная цветом самого индикатора. Объем пробы делят пополам: одна часть раствора служит эталоном окраски мурексида, другая используется для постановки опытной пробы. К опытной пробе добавляют 1 мл сыворотки крови, что приводит к появлению бледно-розового окрашивания. Раствор немедленно титруют трилоном Б до возвращения прежней окраски индикатора.</w:t>
      </w:r>
      <w:r>
        <w:rPr>
          <w:sz w:val="28"/>
          <w:u w:val="single"/>
        </w:rPr>
        <w:t xml:space="preserve"> 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 xml:space="preserve">Расчет ведут по формуле:  Са</w:t>
      </w:r>
      <w:r>
        <w:rPr>
          <w:sz w:val="28"/>
          <w:vertAlign w:val="superscript"/>
        </w:rPr>
        <w:t>2+</w:t>
      </w:r>
      <w:r>
        <w:rPr>
          <w:sz w:val="28"/>
        </w:rPr>
        <w:t xml:space="preserve"> мг% = 7,2·А; 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 xml:space="preserve">где А - количество мл пошедшего на титрование трилона Б.  Для выражения результатов в ммоль/л найденную величину (Х мг%) умножают на 0,2495. Нормальное содержание кальция в сыворотке крови составляет 2,25 – 2,8 ммоль/л.</w:t>
      </w:r>
    </w:p>
    <w:p>
      <w:pPr>
        <w:pStyle w:val="P3"/>
        <w:ind w:hanging="1843" w:left="1843"/>
        <w:jc w:val="both"/>
        <w:rPr>
          <w:sz w:val="28"/>
        </w:rPr>
      </w:pPr>
      <w:r>
        <w:rPr>
          <w:sz w:val="28"/>
          <w:u w:val="single"/>
        </w:rPr>
        <w:t>Результат:</w:t>
      </w:r>
    </w:p>
    <w:p>
      <w:pPr>
        <w:pStyle w:val="P3"/>
        <w:ind w:hanging="1843" w:left="1843"/>
        <w:jc w:val="both"/>
        <w:rPr>
          <w:sz w:val="28"/>
          <w:u w:val="single"/>
        </w:rPr>
      </w:pPr>
    </w:p>
    <w:p>
      <w:pPr>
        <w:pStyle w:val="P3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Вывод: </w:t>
      </w:r>
    </w:p>
    <w:p>
      <w:pPr>
        <w:pStyle w:val="P3"/>
        <w:ind w:hanging="1843" w:left="1843"/>
        <w:jc w:val="both"/>
        <w:rPr>
          <w:sz w:val="28"/>
        </w:rPr>
      </w:pPr>
      <w:r>
        <w:rPr>
          <w:sz w:val="28"/>
          <w:u w:val="single"/>
        </w:rPr>
        <w:t>Клинико-диагностическое значение:</w:t>
      </w:r>
      <w:r>
        <w:rPr>
          <w:sz w:val="28"/>
        </w:rPr>
        <w:t xml:space="preserve"> 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В норме гиперкальциемия наблюдается у новорожденных, недоношенных детей, а также после принятия пищи (алиментарная гиперкальциемия). При патологии гиперкальциемия отмечается при гиперпаратиреоидизме, гипервитаминозе Д, Аддисоновой болезни. Гипокальциемия встречается чаще в детском возрасте при спазмофилии, при рахите, при нефрозах, нефритах, гипопаратиреоидизме.</w:t>
      </w:r>
    </w:p>
    <w:p>
      <w:pPr>
        <w:pStyle w:val="P3"/>
        <w:ind w:hanging="1843" w:left="1843"/>
        <w:rPr>
          <w:b w:val="1"/>
          <w:sz w:val="28"/>
        </w:rPr>
      </w:pPr>
    </w:p>
    <w:p>
      <w:pPr>
        <w:pStyle w:val="P3"/>
        <w:ind w:hanging="1843" w:left="1843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pStyle w:val="P3"/>
        <w:numPr>
          <w:ilvl w:val="0"/>
          <w:numId w:val="6"/>
        </w:numPr>
        <w:jc w:val="left"/>
        <w:rPr>
          <w:b w:val="1"/>
          <w:sz w:val="28"/>
          <w:u w:val="single"/>
        </w:rPr>
      </w:pPr>
      <w:r>
        <w:rPr>
          <w:sz w:val="28"/>
          <w:u w:val="single"/>
        </w:rPr>
        <w:t xml:space="preserve">Повторите </w:t>
      </w:r>
    </w:p>
    <w:p>
      <w:pPr>
        <w:pStyle w:val="P3"/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Строение, свойства, функции витамина Д, распространение в природе и суточную потребность.</w:t>
      </w:r>
    </w:p>
    <w:p>
      <w:pPr>
        <w:pStyle w:val="P3"/>
        <w:numPr>
          <w:ilvl w:val="0"/>
          <w:numId w:val="6"/>
        </w:numPr>
        <w:tabs>
          <w:tab w:val="left" w:pos="720" w:leader="none"/>
        </w:tabs>
        <w:jc w:val="both"/>
        <w:rPr>
          <w:sz w:val="28"/>
          <w:u w:val="single"/>
        </w:rPr>
      </w:pPr>
      <w:r>
        <w:rPr>
          <w:sz w:val="28"/>
          <w:u w:val="single"/>
        </w:rPr>
        <w:t>Решите ситуационные задачи:</w:t>
      </w:r>
    </w:p>
    <w:p>
      <w:pPr>
        <w:pStyle w:val="P3"/>
        <w:ind w:firstLine="709"/>
        <w:rPr>
          <w:sz w:val="28"/>
        </w:rPr>
      </w:pPr>
      <w:r>
        <w:rPr>
          <w:sz w:val="28"/>
        </w:rPr>
        <w:t>№ 1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О недостаточности каких гормонов может свидетельствовать обнаружение у больного устойчивого повышения экскреции с мочой ионов натрия и хлора? Почему?</w:t>
      </w:r>
    </w:p>
    <w:p>
      <w:pPr>
        <w:pStyle w:val="P3"/>
        <w:ind w:firstLine="709"/>
        <w:rPr>
          <w:sz w:val="28"/>
        </w:rPr>
      </w:pPr>
      <w:r>
        <w:rPr>
          <w:sz w:val="28"/>
        </w:rPr>
        <w:t>№ 2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Гиперпаратиреоидизм – заболевание, в основе которого лежит гиперпродукция паратгормона. У больных отмечается мышечная слабость, остеопороз и деформация костей, образование почечных камней. Как меняется концентрация кальция в крови у таких больных? За счёт индукции каких процессов это происходит?</w:t>
      </w:r>
    </w:p>
    <w:p>
      <w:pPr>
        <w:pStyle w:val="P3"/>
        <w:ind w:firstLine="709"/>
        <w:rPr>
          <w:sz w:val="28"/>
        </w:rPr>
      </w:pPr>
      <w:r>
        <w:rPr>
          <w:sz w:val="28"/>
        </w:rPr>
        <w:t>№ 3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У ребенка 2 лет с хроническим гепатитом и нефритом развился тяжелый рахит, несмотря на меры профилактики. Объясните это явление.</w:t>
      </w:r>
    </w:p>
    <w:p>
      <w:pPr>
        <w:pStyle w:val="P3"/>
        <w:ind w:firstLine="709"/>
        <w:jc w:val="both"/>
        <w:rPr>
          <w:sz w:val="28"/>
        </w:rPr>
      </w:pPr>
    </w:p>
    <w:p>
      <w:pPr>
        <w:pStyle w:val="P3"/>
        <w:numPr>
          <w:ilvl w:val="0"/>
          <w:numId w:val="6"/>
        </w:numPr>
        <w:jc w:val="both"/>
        <w:rPr>
          <w:sz w:val="28"/>
        </w:rPr>
      </w:pPr>
      <w:r>
        <w:rPr>
          <w:sz w:val="28"/>
          <w:u w:val="single"/>
        </w:rPr>
        <w:t xml:space="preserve">  Заполните таблицу</w:t>
      </w:r>
      <w:r>
        <w:rPr>
          <w:sz w:val="28"/>
        </w:rPr>
        <w:t>.</w:t>
      </w:r>
    </w:p>
    <w:p>
      <w:pPr>
        <w:pStyle w:val="P3"/>
        <w:rPr>
          <w:b w:val="1"/>
          <w:sz w:val="28"/>
          <w:vertAlign w:val="subscript"/>
        </w:rPr>
      </w:pPr>
      <w:r>
        <w:rPr>
          <w:b w:val="1"/>
          <w:sz w:val="28"/>
        </w:rPr>
        <w:t>Характеристика гормонов регулирующих обмен Са</w:t>
      </w:r>
      <w:r>
        <w:rPr>
          <w:b w:val="1"/>
          <w:sz w:val="28"/>
          <w:vertAlign w:val="superscript"/>
        </w:rPr>
        <w:t>2+</w:t>
      </w:r>
      <w:r>
        <w:rPr>
          <w:b w:val="1"/>
          <w:sz w:val="28"/>
        </w:rPr>
        <w:t xml:space="preserve"> и Р</w:t>
      </w:r>
      <w:r>
        <w:rPr>
          <w:b w:val="1"/>
          <w:sz w:val="28"/>
          <w:vertAlign w:val="subscript"/>
        </w:rPr>
        <w:t>н</w:t>
      </w: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c>
          <w:tcPr>
            <w:tcW w:w="157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Гормон</w:t>
            </w:r>
          </w:p>
        </w:tc>
        <w:tc>
          <w:tcPr>
            <w:tcW w:w="157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Место синтеза</w:t>
            </w:r>
          </w:p>
        </w:tc>
        <w:tc>
          <w:tcPr>
            <w:tcW w:w="161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Стимулы</w:t>
            </w:r>
          </w:p>
        </w:tc>
        <w:tc>
          <w:tcPr>
            <w:tcW w:w="1576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Механизм действия</w:t>
            </w:r>
          </w:p>
        </w:tc>
        <w:tc>
          <w:tcPr>
            <w:tcW w:w="1422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Органы мишени</w:t>
            </w:r>
          </w:p>
        </w:tc>
        <w:tc>
          <w:tcPr>
            <w:tcW w:w="2374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Метаболические эффекты</w:t>
            </w:r>
          </w:p>
        </w:tc>
      </w:tr>
      <w:tr>
        <w:tc>
          <w:tcPr>
            <w:tcW w:w="157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Парат-гормон</w:t>
            </w:r>
          </w:p>
          <w:p>
            <w:pPr>
              <w:pStyle w:val="P3"/>
              <w:rPr>
                <w:sz w:val="28"/>
              </w:rPr>
            </w:pPr>
          </w:p>
        </w:tc>
        <w:tc>
          <w:tcPr>
            <w:tcW w:w="1575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1576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1422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2374" w:type="dxa"/>
          </w:tcPr>
          <w:p>
            <w:pPr>
              <w:pStyle w:val="P3"/>
              <w:rPr>
                <w:sz w:val="28"/>
              </w:rPr>
            </w:pPr>
          </w:p>
        </w:tc>
      </w:tr>
      <w:tr>
        <w:tc>
          <w:tcPr>
            <w:tcW w:w="157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Кальци-триол</w:t>
            </w:r>
          </w:p>
          <w:p>
            <w:pPr>
              <w:pStyle w:val="P3"/>
              <w:rPr>
                <w:sz w:val="28"/>
              </w:rPr>
            </w:pPr>
          </w:p>
        </w:tc>
        <w:tc>
          <w:tcPr>
            <w:tcW w:w="1575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1576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1422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2374" w:type="dxa"/>
          </w:tcPr>
          <w:p>
            <w:pPr>
              <w:pStyle w:val="P3"/>
              <w:rPr>
                <w:sz w:val="28"/>
              </w:rPr>
            </w:pPr>
          </w:p>
        </w:tc>
      </w:tr>
      <w:tr>
        <w:tc>
          <w:tcPr>
            <w:tcW w:w="1575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Кальци-тонин</w:t>
            </w:r>
          </w:p>
          <w:p>
            <w:pPr>
              <w:pStyle w:val="P3"/>
              <w:rPr>
                <w:sz w:val="28"/>
              </w:rPr>
            </w:pPr>
          </w:p>
        </w:tc>
        <w:tc>
          <w:tcPr>
            <w:tcW w:w="1575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1615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1576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1422" w:type="dxa"/>
          </w:tcPr>
          <w:p>
            <w:pPr>
              <w:pStyle w:val="P3"/>
              <w:rPr>
                <w:sz w:val="28"/>
              </w:rPr>
            </w:pPr>
          </w:p>
        </w:tc>
        <w:tc>
          <w:tcPr>
            <w:tcW w:w="2374" w:type="dxa"/>
          </w:tcPr>
          <w:p>
            <w:pPr>
              <w:pStyle w:val="P3"/>
              <w:rPr>
                <w:sz w:val="28"/>
              </w:rPr>
            </w:pPr>
          </w:p>
        </w:tc>
      </w:tr>
    </w:tbl>
    <w:p>
      <w:pPr>
        <w:pStyle w:val="P3"/>
        <w:tabs>
          <w:tab w:val="left" w:pos="7376" w:leader="none"/>
        </w:tabs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4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1"/>
      <w:numFmt w:val="decimal"/>
      <w:suff w:val="tab"/>
      <w:lvlText w:val="*"/>
      <w:lvlJc w:val="left"/>
      <w:pPr/>
      <w:rPr/>
    </w:lvl>
    <w:lvl w:ilvl="1" w:tplc="78DE6FF8">
      <w:start w:val="1"/>
      <w:numFmt w:val="decimal"/>
      <w:suff w:val="tab"/>
      <w:lvlText w:val="%1."/>
      <w:lvlJc w:val="left"/>
      <w:pPr/>
      <w:rPr/>
    </w:lvl>
    <w:lvl w:ilvl="2" w:tplc="69699DC6">
      <w:start w:val="1"/>
      <w:numFmt w:val="decimal"/>
      <w:suff w:val="tab"/>
      <w:lvlText w:val="%1."/>
      <w:lvlJc w:val="left"/>
      <w:pPr/>
      <w:rPr/>
    </w:lvl>
    <w:lvl w:ilvl="3" w:tplc="41237C7F">
      <w:start w:val="1"/>
      <w:numFmt w:val="decimal"/>
      <w:suff w:val="tab"/>
      <w:lvlText w:val="%1."/>
      <w:lvlJc w:val="left"/>
      <w:pPr/>
      <w:rPr/>
    </w:lvl>
    <w:lvl w:ilvl="4" w:tplc="05B6B701">
      <w:start w:val="1"/>
      <w:numFmt w:val="decimal"/>
      <w:suff w:val="tab"/>
      <w:lvlText w:val="%1."/>
      <w:lvlJc w:val="left"/>
      <w:pPr/>
      <w:rPr/>
    </w:lvl>
    <w:lvl w:ilvl="5" w:tplc="6AD8426A">
      <w:start w:val="1"/>
      <w:numFmt w:val="decimal"/>
      <w:suff w:val="tab"/>
      <w:lvlText w:val="%1."/>
      <w:lvlJc w:val="left"/>
      <w:pPr/>
      <w:rPr/>
    </w:lvl>
    <w:lvl w:ilvl="6" w:tplc="366F11DA">
      <w:start w:val="1"/>
      <w:numFmt w:val="decimal"/>
      <w:suff w:val="tab"/>
      <w:lvlText w:val="%1."/>
      <w:lvlJc w:val="left"/>
      <w:pPr/>
      <w:rPr/>
    </w:lvl>
    <w:lvl w:ilvl="7" w:tplc="1F547729">
      <w:start w:val="1"/>
      <w:numFmt w:val="decimal"/>
      <w:suff w:val="tab"/>
      <w:lvlText w:val="%1."/>
      <w:lvlJc w:val="left"/>
      <w:pPr/>
      <w:rPr/>
    </w:lvl>
    <w:lvl w:ilvl="8" w:tplc="20F832C8">
      <w:start w:val="1"/>
      <w:numFmt w:val="decimal"/>
      <w:suff w:val="tab"/>
      <w:lvlText w:val="%1."/>
      <w:lvlJc w:val="left"/>
      <w:pPr/>
      <w:rPr/>
    </w:lvl>
  </w:abstractNum>
  <w:abstractNum w:abstractNumId="1">
    <w:nsid w:val="2A466E12"/>
    <w:multiLevelType w:val="hybridMultilevel"/>
    <w:lvl w:ilvl="0" w:tplc="311C5C48">
      <w:start w:val="1"/>
      <w:numFmt w:val="upperRoman"/>
      <w:suff w:val="tab"/>
      <w:lvlText w:val="%1."/>
      <w:lvlJc w:val="left"/>
      <w:pPr>
        <w:ind w:hanging="720" w:left="1080"/>
      </w:pPr>
      <w:rPr>
        <w:b w:val="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7974F5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D45587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73751BA5"/>
    <w:multiLevelType w:val="hybridMultilevel"/>
    <w:lvl w:ilvl="0">
      <w:start w:val="1"/>
      <w:numFmt w:val="decimal"/>
      <w:suff w:val="tab"/>
      <w:lvlText w:val="%1."/>
      <w:legacy w:legacy="1" w:legacyIndent="360" w:legacySpace="0"/>
      <w:lvlJc w:val="left"/>
      <w:pPr>
        <w:ind w:hanging="360" w:left="360"/>
      </w:pPr>
      <w:rPr/>
    </w:lvl>
    <w:lvl w:ilvl="1" w:tplc="3400C809">
      <w:start w:val="1"/>
      <w:numFmt w:val="decimal"/>
      <w:suff w:val="tab"/>
      <w:lvlText w:val="%1."/>
      <w:lvlJc w:val="left"/>
      <w:pPr/>
      <w:rPr/>
    </w:lvl>
    <w:lvl w:ilvl="2" w:tplc="32666BD2">
      <w:start w:val="1"/>
      <w:numFmt w:val="decimal"/>
      <w:suff w:val="tab"/>
      <w:lvlText w:val="%1."/>
      <w:lvlJc w:val="left"/>
      <w:pPr/>
      <w:rPr/>
    </w:lvl>
    <w:lvl w:ilvl="3" w:tplc="6508F84D">
      <w:start w:val="1"/>
      <w:numFmt w:val="decimal"/>
      <w:suff w:val="tab"/>
      <w:lvlText w:val="%1."/>
      <w:lvlJc w:val="left"/>
      <w:pPr/>
      <w:rPr/>
    </w:lvl>
    <w:lvl w:ilvl="4" w:tplc="1DDD7B3F">
      <w:start w:val="1"/>
      <w:numFmt w:val="decimal"/>
      <w:suff w:val="tab"/>
      <w:lvlText w:val="%1."/>
      <w:lvlJc w:val="left"/>
      <w:pPr/>
      <w:rPr/>
    </w:lvl>
    <w:lvl w:ilvl="5" w:tplc="7452D07D">
      <w:start w:val="1"/>
      <w:numFmt w:val="decimal"/>
      <w:suff w:val="tab"/>
      <w:lvlText w:val="%1."/>
      <w:lvlJc w:val="left"/>
      <w:pPr/>
      <w:rPr/>
    </w:lvl>
    <w:lvl w:ilvl="6" w:tplc="384F7094">
      <w:start w:val="1"/>
      <w:numFmt w:val="decimal"/>
      <w:suff w:val="tab"/>
      <w:lvlText w:val="%1."/>
      <w:lvlJc w:val="left"/>
      <w:pPr/>
      <w:rPr/>
    </w:lvl>
    <w:lvl w:ilvl="7" w:tplc="3F80489F">
      <w:start w:val="1"/>
      <w:numFmt w:val="decimal"/>
      <w:suff w:val="tab"/>
      <w:lvlText w:val="%1."/>
      <w:lvlJc w:val="left"/>
      <w:pPr/>
      <w:rPr/>
    </w:lvl>
    <w:lvl w:ilvl="8" w:tplc="17A52369">
      <w:start w:val="1"/>
      <w:numFmt w:val="decimal"/>
      <w:suff w:val="tab"/>
      <w:lvlText w:val="%1."/>
      <w:lvlJc w:val="left"/>
      <w:pPr/>
      <w:rPr/>
    </w:lvl>
  </w:abstractNum>
  <w:abstractNum w:abstractNumId="5">
    <w:nsid w:val="79DC4018"/>
    <w:multiLevelType w:val="hybridMultilevel"/>
    <w:lvl w:ilvl="0">
      <w:start w:val="1"/>
      <w:numFmt w:val="decimal"/>
      <w:suff w:val="tab"/>
      <w:lvlText w:val="%1. "/>
      <w:legacy w:legacy="1" w:legacyIndent="283" w:legacySpace="0"/>
      <w:lvlJc w:val="left"/>
      <w:pPr>
        <w:ind w:hanging="283" w:left="283"/>
      </w:pPr>
      <w:rPr>
        <w:rFonts w:ascii="Times New Roman" w:hAnsi="Times New Roman"/>
        <w:b w:val="0"/>
        <w:i w:val="0"/>
        <w:sz w:val="28"/>
        <w:u w:val="none"/>
      </w:rPr>
    </w:lvl>
    <w:lvl w:ilvl="1" w:tplc="7AE98AFD">
      <w:start w:val="1"/>
      <w:numFmt w:val="decimal"/>
      <w:suff w:val="tab"/>
      <w:lvlText w:val="%1."/>
      <w:lvlJc w:val="left"/>
      <w:pPr/>
      <w:rPr/>
    </w:lvl>
    <w:lvl w:ilvl="2" w:tplc="49D58730">
      <w:start w:val="1"/>
      <w:numFmt w:val="decimal"/>
      <w:suff w:val="tab"/>
      <w:lvlText w:val="%1."/>
      <w:lvlJc w:val="left"/>
      <w:pPr/>
      <w:rPr/>
    </w:lvl>
    <w:lvl w:ilvl="3" w:tplc="64CCF40C">
      <w:start w:val="1"/>
      <w:numFmt w:val="decimal"/>
      <w:suff w:val="tab"/>
      <w:lvlText w:val="%1."/>
      <w:lvlJc w:val="left"/>
      <w:pPr/>
      <w:rPr/>
    </w:lvl>
    <w:lvl w:ilvl="4" w:tplc="7C739F39">
      <w:start w:val="1"/>
      <w:numFmt w:val="decimal"/>
      <w:suff w:val="tab"/>
      <w:lvlText w:val="%1."/>
      <w:lvlJc w:val="left"/>
      <w:pPr/>
      <w:rPr/>
    </w:lvl>
    <w:lvl w:ilvl="5" w:tplc="21F4AABD">
      <w:start w:val="1"/>
      <w:numFmt w:val="decimal"/>
      <w:suff w:val="tab"/>
      <w:lvlText w:val="%1."/>
      <w:lvlJc w:val="left"/>
      <w:pPr/>
      <w:rPr/>
    </w:lvl>
    <w:lvl w:ilvl="6" w:tplc="31805AA7">
      <w:start w:val="1"/>
      <w:numFmt w:val="decimal"/>
      <w:suff w:val="tab"/>
      <w:lvlText w:val="%1."/>
      <w:lvlJc w:val="left"/>
      <w:pPr/>
      <w:rPr/>
    </w:lvl>
    <w:lvl w:ilvl="7" w:tplc="4A432C9F">
      <w:start w:val="1"/>
      <w:numFmt w:val="decimal"/>
      <w:suff w:val="tab"/>
      <w:lvlText w:val="%1."/>
      <w:lvlJc w:val="left"/>
      <w:pPr/>
      <w:rPr/>
    </w:lvl>
    <w:lvl w:ilvl="8" w:tplc="1FC331C9">
      <w:start w:val="1"/>
      <w:numFmt w:val="decimal"/>
      <w:suff w:val="tab"/>
      <w:lvlText w:val="%1."/>
      <w:lvlJc w:val="left"/>
      <w:pPr/>
      <w:rPr/>
    </w:lvl>
  </w:abstractNum>
  <w:num w:numId="1">
    <w:abstractNumId w:val="0"/>
    <w:lvlOverride w:ilvl="0">
      <w:lvl w:ilvl="0">
        <w:start w:val="1"/>
        <w:numFmt w:val="bullet"/>
        <w:suff w:val="tab"/>
        <w:lvlText w:val=""/>
        <w:legacy w:legacy="1" w:legacyIndent="283" w:legacySpace="0"/>
        <w:lvlJc w:val="left"/>
        <w:pPr>
          <w:ind w:hanging="283" w:left="1701"/>
        </w:pPr>
        <w:rPr>
          <w:rFonts w:ascii="Wingdings" w:hAnsi="Wingdings"/>
          <w:b w:val="0"/>
          <w:i w:val="0"/>
          <w:sz w:val="24"/>
          <w:u w:val="none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paragraph" w:styleId="P3">
    <w:name w:val="Body Text 2"/>
    <w:basedOn w:val="P0"/>
    <w:pPr>
      <w:jc w:val="center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