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application/x-msmetafil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98BE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b w:val="1"/>
          <w:sz w:val="28"/>
        </w:rPr>
      </w:pPr>
      <w:r>
        <w:rPr>
          <w:b w:val="1"/>
          <w:sz w:val="28"/>
        </w:rPr>
        <w:t>ЗАНЯТИЕ 3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Тема 4.3. «АНАБОЛИЗМ ЛИПИДОВ.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ПАТОЛОГИЯ ЛИПИДНОГО ОБМЕНА»</w:t>
      </w:r>
    </w:p>
    <w:p>
      <w:pPr>
        <w:ind w:firstLine="709"/>
        <w:rPr>
          <w:sz w:val="28"/>
          <w:u w:val="single"/>
        </w:rPr>
      </w:pPr>
      <w:r>
        <w:rPr>
          <w:sz w:val="28"/>
          <w:u w:val="single"/>
        </w:rPr>
        <w:t>Обоснование темы.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Способность человека запасать триацилглицерины не так ограничена, как при резервировании полисахаридов. Это происходит в тех случаях, когда организм человека получает с пищей (особенно углеводной) избыточное количество калорий, существенно превышающих непосредственные энергетические потребности. Избыток субстратов биологического окисления сбрасывается на биосинтез жирных кислот, образующих с глицеролом сложноэфирные связи. Образующиеся ТАГи эндогенного происхождения депонируются в адипоцитах жировой ткани, что, в конечном итоге, может привести к развитию ожирения. Важным моментом липидного обмена является также биосинтез холестерола, который, с одной стороны, является предшественником для биосинтеза стероидных гормонов, регулятором мембраннозависимых процессов, а с другой – участником атерогенеза.</w:t>
      </w:r>
    </w:p>
    <w:p>
      <w:pPr>
        <w:ind w:firstLine="709"/>
        <w:jc w:val="both"/>
        <w:rPr>
          <w:sz w:val="28"/>
          <w:u w:val="single"/>
        </w:rPr>
      </w:pP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Цель занятия:</w:t>
      </w:r>
    </w:p>
    <w:p>
      <w:pPr>
        <w:numPr>
          <w:ilvl w:val="0"/>
          <w:numId w:val="1"/>
        </w:numPr>
        <w:ind w:firstLine="567" w:left="284"/>
        <w:rPr>
          <w:sz w:val="28"/>
        </w:rPr>
      </w:pPr>
      <w:r>
        <w:rPr>
          <w:sz w:val="28"/>
        </w:rPr>
        <w:t>знать строение синтазы высших жирных кислот;</w:t>
      </w:r>
    </w:p>
    <w:p>
      <w:pPr>
        <w:numPr>
          <w:ilvl w:val="0"/>
          <w:numId w:val="1"/>
        </w:numPr>
        <w:ind w:firstLine="567" w:left="567"/>
        <w:jc w:val="both"/>
        <w:rPr>
          <w:sz w:val="28"/>
        </w:rPr>
      </w:pPr>
      <w:r>
        <w:rPr>
          <w:sz w:val="28"/>
        </w:rPr>
        <w:t>знать биологическую роль, метаболизм и транспорт холестерола;</w:t>
      </w:r>
    </w:p>
    <w:p>
      <w:pPr>
        <w:numPr>
          <w:ilvl w:val="0"/>
          <w:numId w:val="1"/>
        </w:numPr>
        <w:ind w:firstLine="567" w:left="567"/>
        <w:jc w:val="both"/>
        <w:rPr>
          <w:sz w:val="28"/>
        </w:rPr>
      </w:pPr>
      <w:r>
        <w:rPr>
          <w:sz w:val="28"/>
        </w:rPr>
        <w:t>знать биологическую роль и метаболизм кетоновых тел;</w:t>
      </w:r>
    </w:p>
    <w:p>
      <w:pPr>
        <w:numPr>
          <w:ilvl w:val="0"/>
          <w:numId w:val="1"/>
        </w:numPr>
        <w:ind w:firstLine="567" w:left="567"/>
        <w:jc w:val="both"/>
        <w:rPr>
          <w:sz w:val="28"/>
        </w:rPr>
      </w:pPr>
      <w:r>
        <w:rPr>
          <w:sz w:val="28"/>
        </w:rPr>
        <w:t>усвоить роль фосфатидной кислоты как ключевого метаболита в биосинтезе ТАГ и фосфолипидов;</w:t>
      </w:r>
    </w:p>
    <w:p>
      <w:pPr>
        <w:numPr>
          <w:ilvl w:val="0"/>
          <w:numId w:val="1"/>
        </w:numPr>
        <w:ind w:firstLine="567" w:left="567"/>
        <w:jc w:val="both"/>
        <w:rPr>
          <w:sz w:val="28"/>
        </w:rPr>
      </w:pPr>
      <w:r>
        <w:rPr>
          <w:sz w:val="28"/>
        </w:rPr>
        <w:t>уметь определять содержание холестерола в сыворотке крови и анализировать полученные результаты;</w:t>
      </w:r>
    </w:p>
    <w:p>
      <w:pPr>
        <w:numPr>
          <w:ilvl w:val="0"/>
          <w:numId w:val="1"/>
        </w:numPr>
        <w:ind w:firstLine="567" w:left="567"/>
        <w:jc w:val="both"/>
        <w:rPr>
          <w:sz w:val="28"/>
        </w:rPr>
      </w:pPr>
      <w:r>
        <w:rPr>
          <w:sz w:val="28"/>
        </w:rPr>
        <w:t>уметь определять наличие кетоновых тел в моче и знать основные причины их появления.</w:t>
      </w:r>
    </w:p>
    <w:p>
      <w:pPr>
        <w:ind w:firstLine="709"/>
        <w:jc w:val="both"/>
        <w:rPr>
          <w:sz w:val="28"/>
          <w:u w:val="single"/>
        </w:rPr>
      </w:pPr>
    </w:p>
    <w:p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Основные понятия темы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Анаболизм липидов. Биосинтез жирных кислот. Обмен стероидов. Биосинтез и транспорт холестерола. Кетогенез. Кетолиз. Биохимические основы развития атеросклероза и желчнокаменной болезни.</w:t>
      </w:r>
    </w:p>
    <w:p>
      <w:pPr>
        <w:ind w:firstLine="709"/>
        <w:jc w:val="both"/>
        <w:rPr>
          <w:sz w:val="28"/>
        </w:rPr>
      </w:pPr>
    </w:p>
    <w:p>
      <w:pPr>
        <w:pStyle w:val="P2"/>
        <w:tabs>
          <w:tab w:val="left" w:pos="360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pStyle w:val="P2"/>
        <w:numPr>
          <w:ilvl w:val="0"/>
          <w:numId w:val="3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Биосинтез высших жирных кислот (ВЖК): источники, роль биотина и малонил-КоА. Суммарное уравнение биосинтеза пальмитиновой кислоты.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Характеристика синтазы ВЖК. Химизм процесса биосинтеза ВЖК. Источники НАДФН·Н</w:t>
      </w:r>
      <w:r>
        <w:rPr>
          <w:sz w:val="28"/>
          <w:vertAlign w:val="superscript"/>
        </w:rPr>
        <w:t>+</w:t>
      </w:r>
      <w:r>
        <w:rPr>
          <w:sz w:val="28"/>
        </w:rPr>
        <w:t>. Регуляция процесса.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Биосинтез триацилглицеринов (ТАГ) и фосфолипидов.</w:t>
      </w: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Представление о биосинтезе холестерола (ХС). Роль оксиметилглютарил-КоА-редуктазы в биосинтезе ХС. Регуляция процесса.</w:t>
      </w: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Транспорт ХС кровью. Роль ЛПОНП, ЛПНП и ЛПВП. ЛХАТ – реакция и её роль в метаболизме ХС.</w:t>
      </w: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Катаболизм ХС. Выведение желчных кислот и ХС из организма.</w:t>
      </w: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Кетогенез. Химизм реакций. Биологическая роль кетоновых тел. Катаболизм кетоновых тел.</w:t>
      </w: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Кетоз: ацетонемия, ацетонурия.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МЕТОДИЧЕСКИЕ УКАЗАНИЯ К ПРАКТИЧЕСКОЙ ЧАСТИ ЗАНЯТИЯ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Лабораторная работа 1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 xml:space="preserve">«Количественное определение ХС в сыворотке крови 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ферментативным методом»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метода:</w:t>
      </w:r>
      <w:r>
        <w:rPr>
          <w:sz w:val="28"/>
        </w:rPr>
        <w:t xml:space="preserve"> метод основан на использовании сопряженных ферментативных реакций, катализируемых холестеролэстеразой, которая осуществляет гидролиз эфиров холестерола, и холестеролоксидазой, которая превращает образующийся при гидролизе ХС в холестенон с образованием эквимолярного количества Н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sz w:val="28"/>
        </w:rPr>
        <w:t>. Перекись водорода под влиянием пероксидазы окисляет 4-аминоантипирин с образованием продуктов розово-малинового цвета.</w:t>
      </w:r>
    </w:p>
    <w:p>
      <w:pPr>
        <w:pStyle w:val="P3"/>
        <w:jc w:val="both"/>
        <w:rPr>
          <w:sz w:val="28"/>
          <w:u w:val="single"/>
        </w:rPr>
      </w:pPr>
      <w:r>
        <w:rPr>
          <w:sz w:val="28"/>
          <w:u w:val="single"/>
        </w:rPr>
        <w:t>Ход работы:</w:t>
      </w:r>
    </w:p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c>
          <w:tcPr>
            <w:tcW w:w="2533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Реагенты (мл)</w:t>
            </w:r>
          </w:p>
        </w:tc>
        <w:tc>
          <w:tcPr>
            <w:tcW w:w="2534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Опыт</w:t>
            </w:r>
          </w:p>
        </w:tc>
        <w:tc>
          <w:tcPr>
            <w:tcW w:w="253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Стандарт</w:t>
            </w:r>
          </w:p>
        </w:tc>
        <w:tc>
          <w:tcPr>
            <w:tcW w:w="253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  <w:tr>
        <w:tc>
          <w:tcPr>
            <w:tcW w:w="2533" w:type="dxa"/>
          </w:tcPr>
          <w:p>
            <w:pPr>
              <w:pStyle w:val="P3"/>
              <w:jc w:val="both"/>
              <w:rPr>
                <w:sz w:val="28"/>
              </w:rPr>
            </w:pPr>
            <w:r>
              <w:rPr>
                <w:sz w:val="28"/>
              </w:rPr>
              <w:t>1. дистил. Н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О</w:t>
            </w:r>
          </w:p>
        </w:tc>
        <w:tc>
          <w:tcPr>
            <w:tcW w:w="2534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3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3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</w:tr>
      <w:tr>
        <w:tc>
          <w:tcPr>
            <w:tcW w:w="2533" w:type="dxa"/>
          </w:tcPr>
          <w:p>
            <w:pPr>
              <w:pStyle w:val="P3"/>
              <w:jc w:val="both"/>
              <w:rPr>
                <w:sz w:val="28"/>
              </w:rPr>
            </w:pPr>
            <w:r>
              <w:rPr>
                <w:sz w:val="28"/>
              </w:rPr>
              <w:t>2. сыворотка</w:t>
            </w:r>
          </w:p>
        </w:tc>
        <w:tc>
          <w:tcPr>
            <w:tcW w:w="2534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253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3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w="2533" w:type="dxa"/>
          </w:tcPr>
          <w:p>
            <w:pPr>
              <w:pStyle w:val="P3"/>
              <w:jc w:val="both"/>
              <w:rPr>
                <w:sz w:val="28"/>
              </w:rPr>
            </w:pPr>
            <w:r>
              <w:rPr>
                <w:sz w:val="28"/>
              </w:rPr>
              <w:t>3. стандарт</w:t>
            </w:r>
          </w:p>
        </w:tc>
        <w:tc>
          <w:tcPr>
            <w:tcW w:w="2534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3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253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w="2533" w:type="dxa"/>
          </w:tcPr>
          <w:p>
            <w:pPr>
              <w:pStyle w:val="P3"/>
              <w:jc w:val="both"/>
              <w:rPr>
                <w:sz w:val="28"/>
              </w:rPr>
            </w:pPr>
            <w:r>
              <w:rPr>
                <w:sz w:val="28"/>
              </w:rPr>
              <w:t>4. рабочий реактив</w:t>
            </w:r>
          </w:p>
        </w:tc>
        <w:tc>
          <w:tcPr>
            <w:tcW w:w="2534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53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53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</w:tbl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Инкубируют 10 минут при 10-20</w:t>
      </w:r>
      <w:r>
        <w:rPr>
          <w:sz w:val="28"/>
          <w:vertAlign w:val="superscript"/>
        </w:rPr>
        <w:t>0</w:t>
      </w:r>
      <w:r>
        <w:rPr>
          <w:sz w:val="28"/>
        </w:rPr>
        <w:t>С, измеряют оптическую плотность опыта и стандарта против контроля при 560-590 нм (зеленый светофильтр).</w:t>
      </w:r>
    </w:p>
    <w:p>
      <w:pPr>
        <w:pStyle w:val="P3"/>
        <w:jc w:val="both"/>
        <w:rPr>
          <w:sz w:val="28"/>
        </w:rPr>
      </w:pPr>
      <w:r>
        <w:rPr>
          <w:sz w:val="28"/>
          <w:u w:val="single"/>
        </w:rPr>
        <w:t xml:space="preserve">Расчет: </w:t>
      </w:r>
      <w:r>
        <w:rPr>
          <w:sz w:val="28"/>
        </w:rPr>
        <w:t xml:space="preserve">концентрация ХС (ммоль/л) в сывортке крови =  </w:t>
      </w:r>
      <w:r>
        <w:drawing>
          <wp:inline xmlns:wp="http://schemas.openxmlformats.org/drawingml/2006/wordprocessingDrawing">
            <wp:extent cx="502285" cy="4438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44386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, </w:t>
      </w:r>
    </w:p>
    <w:p>
      <w:pPr>
        <w:pStyle w:val="P3"/>
        <w:jc w:val="both"/>
        <w:rPr>
          <w:sz w:val="28"/>
        </w:rPr>
      </w:pPr>
      <w:r>
        <w:rPr>
          <w:sz w:val="28"/>
        </w:rPr>
        <w:t xml:space="preserve">где С </w:t>
      </w:r>
      <w:r>
        <w:rPr>
          <w:sz w:val="28"/>
          <w:vertAlign w:val="subscript"/>
        </w:rPr>
        <w:t>ст</w:t>
      </w:r>
      <w:r>
        <w:rPr>
          <w:sz w:val="28"/>
        </w:rPr>
        <w:t xml:space="preserve"> равна 5,17 ммоль/л</w:t>
      </w:r>
    </w:p>
    <w:p>
      <w:pPr>
        <w:pStyle w:val="P3"/>
        <w:jc w:val="both"/>
        <w:rPr>
          <w:sz w:val="28"/>
        </w:rPr>
      </w:pPr>
      <w:r>
        <w:rPr>
          <w:sz w:val="28"/>
        </w:rPr>
        <w:t xml:space="preserve">В норме содержание ХС в сывортке крови составляет 5,2 </w:t>
      </w:r>
      <w:r>
        <w:rPr>
          <w:rFonts w:ascii="Symbol" w:hAnsi="Symbol"/>
          <w:sz w:val="28"/>
        </w:rPr>
        <w:t></w:t>
      </w:r>
      <w:r>
        <w:rPr>
          <w:sz w:val="28"/>
        </w:rPr>
        <w:t xml:space="preserve"> 1,3 ммоль/л.</w:t>
      </w:r>
    </w:p>
    <w:p>
      <w:pPr>
        <w:pStyle w:val="P3"/>
        <w:jc w:val="both"/>
        <w:rPr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pStyle w:val="P3"/>
        <w:jc w:val="both"/>
        <w:rPr>
          <w:sz w:val="28"/>
          <w:u w:val="single"/>
        </w:rPr>
      </w:pPr>
    </w:p>
    <w:p>
      <w:pPr>
        <w:pStyle w:val="P3"/>
        <w:jc w:val="both"/>
        <w:rPr>
          <w:sz w:val="28"/>
          <w:u w:val="single"/>
        </w:rPr>
      </w:pPr>
    </w:p>
    <w:p>
      <w:pPr>
        <w:pStyle w:val="P3"/>
        <w:jc w:val="both"/>
        <w:rPr>
          <w:sz w:val="28"/>
          <w:u w:val="single"/>
        </w:rPr>
      </w:pPr>
      <w:r>
        <w:rPr>
          <w:sz w:val="28"/>
          <w:u w:val="single"/>
        </w:rPr>
        <w:t>Вывод:</w:t>
      </w:r>
    </w:p>
    <w:p>
      <w:pPr>
        <w:pStyle w:val="P3"/>
        <w:jc w:val="both"/>
        <w:rPr>
          <w:sz w:val="28"/>
          <w:u w:val="single"/>
        </w:rPr>
      </w:pPr>
    </w:p>
    <w:p>
      <w:pPr>
        <w:pStyle w:val="P3"/>
        <w:jc w:val="both"/>
        <w:rPr>
          <w:sz w:val="28"/>
          <w:u w:val="single"/>
        </w:rPr>
      </w:pPr>
    </w:p>
    <w:p>
      <w:pPr>
        <w:pStyle w:val="P3"/>
        <w:ind w:firstLine="709"/>
        <w:jc w:val="both"/>
        <w:rPr>
          <w:sz w:val="28"/>
        </w:rPr>
      </w:pPr>
      <w:r>
        <w:rPr>
          <w:sz w:val="28"/>
          <w:u w:val="single"/>
        </w:rPr>
        <w:t>Клинико-диагностическое значение:</w:t>
      </w:r>
      <w:r>
        <w:rPr>
          <w:sz w:val="28"/>
        </w:rPr>
        <w:t xml:space="preserve"> повышение концентрации ХС в крови (гиперхолестеролемия) находят при атеросклерозе, метаболическом синдроме, дислипопротеинемиях, подагре, некоторых заболеваниях печени и др. Снижение содержания ХС в крови (гипохолестеролемия) наблюдается при циррозе печени, тиреотоксикозе, обширных ожогах и др.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Лабораторная работа 2 (УИРС)</w:t>
      </w:r>
    </w:p>
    <w:p>
      <w:pPr>
        <w:rPr>
          <w:b w:val="1"/>
          <w:sz w:val="28"/>
        </w:rPr>
      </w:pPr>
      <w:r>
        <w:rPr>
          <w:b w:val="1"/>
          <w:sz w:val="28"/>
        </w:rPr>
        <w:t>Качественные реакции на ацетоновые тела в моче (ацетоацетат, ацетон)»</w:t>
      </w:r>
    </w:p>
    <w:p>
      <w:pPr>
        <w:tabs>
          <w:tab w:val="left" w:pos="567" w:leader="none"/>
        </w:tabs>
        <w:ind w:hanging="567" w:left="567"/>
        <w:rPr>
          <w:b w:val="1"/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А)</w:t>
      </w:r>
      <w:r>
        <w:rPr>
          <w:sz w:val="28"/>
        </w:rPr>
        <w:t xml:space="preserve"> </w:t>
      </w:r>
      <w:r>
        <w:rPr>
          <w:b w:val="1"/>
          <w:sz w:val="28"/>
        </w:rPr>
        <w:t>реакция на образование йодоформа</w:t>
      </w:r>
    </w:p>
    <w:p>
      <w:pPr>
        <w:tabs>
          <w:tab w:val="left" w:pos="567" w:leader="none"/>
        </w:tabs>
        <w:ind w:hanging="567" w:left="567"/>
        <w:rPr>
          <w:sz w:val="28"/>
        </w:rPr>
      </w:pPr>
      <w:r>
        <w:rPr>
          <w:b w:val="1"/>
          <w:sz w:val="28"/>
        </w:rPr>
        <w:t>(проба Либена, специфическая реакция)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метода:</w:t>
      </w:r>
      <w:r>
        <w:rPr>
          <w:sz w:val="28"/>
        </w:rPr>
        <w:t xml:space="preserve"> метод основан на способности ацетона в щелочной среде образовывать желтый осадок йодоформа, обладающего специфическим запахом.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Ход работы:</w:t>
      </w:r>
      <w:r>
        <w:rPr>
          <w:sz w:val="28"/>
        </w:rPr>
        <w:t xml:space="preserve"> В пробирку наливают 1 мл мочи, добавляют 1 мл 10% раствора NaOH и 5 – 7 капель раствора Люголя (раствор йода в KI). При наличии ацетона жидкость мутнеет за счет образования бледно-жёлтого осадка йодоформа с характерным “больничным” запахом.</w:t>
      </w:r>
    </w:p>
    <w:p>
      <w:pPr>
        <w:rPr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  <w:r>
        <w:rPr>
          <w:sz w:val="28"/>
          <w:u w:val="single"/>
        </w:rPr>
        <w:t>Вывод: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ind w:hanging="426" w:left="426"/>
        <w:jc w:val="both"/>
        <w:rPr>
          <w:b w:val="1"/>
          <w:sz w:val="28"/>
        </w:rPr>
      </w:pPr>
      <w:r>
        <w:rPr>
          <w:b w:val="1"/>
          <w:sz w:val="28"/>
        </w:rPr>
        <w:t xml:space="preserve">Б) реакция с нитропруссидом натрия </w:t>
      </w:r>
    </w:p>
    <w:p>
      <w:pPr>
        <w:ind w:hanging="426" w:left="426"/>
        <w:jc w:val="both"/>
        <w:rPr>
          <w:b w:val="1"/>
          <w:sz w:val="28"/>
        </w:rPr>
      </w:pPr>
      <w:r>
        <w:rPr>
          <w:b w:val="1"/>
          <w:sz w:val="28"/>
        </w:rPr>
        <w:t>(проба Легаля, неспецифическая реакция).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метода:</w:t>
      </w:r>
      <w:r>
        <w:rPr>
          <w:sz w:val="28"/>
        </w:rPr>
        <w:t xml:space="preserve"> Ацетон и ацетоацетат в щелочной среде образуют с нитропруссидом натрия комплексы оранжево–красного цвета. После подкисления ледяной уксусной кислотой образуется соединение вишневого цвета. Проба более чувствительна к ацетоуксусной кислоте, чем к ацетону. С </w:t>
      </w:r>
      <w:r>
        <w:rPr>
          <w:rFonts w:ascii="Symbol" w:hAnsi="Symbol"/>
          <w:sz w:val="28"/>
        </w:rPr>
        <w:t></w:t>
      </w:r>
      <w:r>
        <w:rPr>
          <w:sz w:val="28"/>
        </w:rPr>
        <w:t>-оксимасляной кислотой реакция не идет.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Ход работы:</w:t>
      </w:r>
      <w:r>
        <w:rPr>
          <w:sz w:val="28"/>
        </w:rPr>
        <w:t xml:space="preserve"> В пробирку наливают 0,5 мл мочи, добавляют 0,5 мл 10% р-ра NaOH и 0,5 мл свежеприготовленного р-ра нитропруссида натрия.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При наличии ацетоновых тел в моче появляется оранжево–красное окрашивание, которое переходит в вишнево–красное после добавления к раствору 3 капель ледяной уксусной кислоты.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Вывод:</w:t>
      </w: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Клинико-диагностическое значение:</w:t>
      </w:r>
      <w:r>
        <w:rPr>
          <w:sz w:val="28"/>
        </w:rPr>
        <w:t xml:space="preserve"> у здорового человека реакция на кетоновые тела в моче отрицательная. Появление кетоновых тел в моче -  кетонурия (ацетонурия) – наблюдается при нарушении жирового или углеводного обмена.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Лабораторная работа 3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Количественное определение ацетоновых тел в моче с помощью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диагностических тест-полосок «Кетофан»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метода:</w:t>
      </w:r>
      <w:r>
        <w:rPr>
          <w:sz w:val="28"/>
        </w:rPr>
        <w:t xml:space="preserve"> Тест основан на реакции Легаля. Реактивная зона содержит щелочной буфер и нитропруссид натрия, который вступает в реакцию с ацетоацетатом или ацетоном, следствием чего является образование продукта, окрашенного в фиолетовый цвет. Интенсивность окраски прямо пропорциональна количеству кетоновых тел в моче. Тест очень чувствителен к ацетоацетату, менее чувствителен к ацетону и не чувствителен к β-оксибутирату. 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  <w:u w:val="single"/>
        </w:rPr>
        <w:t>Ход работы:</w:t>
      </w:r>
      <w:r>
        <w:rPr>
          <w:sz w:val="28"/>
        </w:rPr>
        <w:t xml:space="preserve"> На реактивную зону тест - полоски наносят пипеткой 2 капли исследуемой мочи. Через 2 минуты окраску реактивной зоны сравнивают с цветной шкалой. При отсутствии кетоновых тел цвет зоны не меняется. Наличие кетоновых тел вызывает образование фиолетового окрашивания. Проводят сравнение с цветной шкалой.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Вывод:</w:t>
      </w:r>
    </w:p>
    <w:p>
      <w:pPr>
        <w:pStyle w:val="P3"/>
        <w:rPr>
          <w:b w:val="1"/>
          <w:sz w:val="28"/>
        </w:rPr>
      </w:pPr>
    </w:p>
    <w:p>
      <w:pPr>
        <w:pStyle w:val="P3"/>
        <w:rPr>
          <w:b w:val="1"/>
          <w:sz w:val="28"/>
        </w:rPr>
      </w:pP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pStyle w:val="P3"/>
        <w:numPr>
          <w:ilvl w:val="0"/>
          <w:numId w:val="2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Повторить строение и механизм кофакторного действия витамина Н.</w:t>
      </w:r>
    </w:p>
    <w:p>
      <w:pPr>
        <w:pStyle w:val="P3"/>
        <w:numPr>
          <w:ilvl w:val="0"/>
          <w:numId w:val="2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 xml:space="preserve">Изобразить в виде схемы пути «прямого» и «обратного» транспорта  холестерола.</w:t>
      </w:r>
    </w:p>
    <w:p>
      <w:pPr>
        <w:pStyle w:val="P3"/>
        <w:numPr>
          <w:ilvl w:val="0"/>
          <w:numId w:val="2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Написать схему путей поступления и путей использования холестерола в организме</w:t>
      </w:r>
    </w:p>
    <w:p>
      <w:pPr>
        <w:pStyle w:val="P3"/>
        <w:numPr>
          <w:ilvl w:val="0"/>
          <w:numId w:val="2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Решить следующие ситуационные задачи:</w:t>
      </w:r>
    </w:p>
    <w:p>
      <w:pPr>
        <w:pStyle w:val="P3"/>
        <w:rPr>
          <w:sz w:val="28"/>
        </w:rPr>
      </w:pPr>
      <w:r>
        <w:rPr>
          <w:sz w:val="28"/>
        </w:rPr>
        <w:t>№ 1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Назовите преимущества и недостатки ацетоацетата как энергетического субстрата по сравнению с глюкозой и высшими жирными кислотами.</w:t>
      </w:r>
    </w:p>
    <w:p>
      <w:pPr>
        <w:pStyle w:val="P3"/>
        <w:ind w:firstLine="709"/>
        <w:rPr>
          <w:sz w:val="28"/>
        </w:rPr>
      </w:pPr>
      <w:r>
        <w:rPr>
          <w:sz w:val="28"/>
        </w:rPr>
        <w:t>№ 2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Какую диету и какой режим следует рекомендовать пациенту с наклонностью к ожирению при удовлетворительном состоянии сердечно-сосудистой системы?</w:t>
      </w:r>
    </w:p>
    <w:p>
      <w:pPr>
        <w:pStyle w:val="P3"/>
        <w:ind w:firstLine="709"/>
        <w:rPr>
          <w:sz w:val="28"/>
        </w:rPr>
      </w:pPr>
      <w:r>
        <w:rPr>
          <w:sz w:val="28"/>
        </w:rPr>
        <w:t xml:space="preserve">№  3</w:t>
      </w:r>
    </w:p>
    <w:p>
      <w:pPr>
        <w:ind w:firstLine="709"/>
        <w:jc w:val="both"/>
        <w:rPr>
          <w:rStyle w:val="C5"/>
          <w:color w:val="282828"/>
          <w:sz w:val="28"/>
          <w:shd w:val="clear" w:fill="FFFFFF"/>
        </w:rPr>
      </w:pPr>
      <w:r>
        <w:rPr>
          <w:color w:val="282828"/>
          <w:sz w:val="28"/>
          <w:shd w:val="clear" w:fill="FFFFFF"/>
        </w:rPr>
        <w:t>Экспериментальные животные в течение 1 недели получали с пищей избыток глюкозы, содержащей радиоактивные углерод. Затем животные голодали в течение двух дней. В крови обнаружены кетоновые тела (КТ), содержащие радиоактивный углерод. Объясните результаты эксперимента, напишите краткие схемы метаболических путей, по которым радиоактивный углерод, поступивший в организм в составе глюкозы, включился в КТ.</w:t>
      </w:r>
      <w:r>
        <w:rPr>
          <w:rStyle w:val="C5"/>
          <w:color w:val="282828"/>
          <w:sz w:val="28"/>
          <w:shd w:val="clear" w:fill="FFFFFF"/>
        </w:rPr>
        <w:t> 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4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>
      <w:start w:val="1"/>
      <w:numFmt w:val="decimal"/>
      <w:suff w:val="tab"/>
      <w:lvlText w:val="*"/>
      <w:lvlJc w:val="left"/>
      <w:pPr/>
      <w:rPr/>
    </w:lvl>
    <w:lvl w:ilvl="1" w:tplc="7A470B0D">
      <w:start w:val="1"/>
      <w:numFmt w:val="decimal"/>
      <w:suff w:val="tab"/>
      <w:lvlText w:val="%1."/>
      <w:lvlJc w:val="left"/>
      <w:pPr/>
      <w:rPr/>
    </w:lvl>
    <w:lvl w:ilvl="2" w:tplc="7528C324">
      <w:start w:val="1"/>
      <w:numFmt w:val="decimal"/>
      <w:suff w:val="tab"/>
      <w:lvlText w:val="%1."/>
      <w:lvlJc w:val="left"/>
      <w:pPr/>
      <w:rPr/>
    </w:lvl>
    <w:lvl w:ilvl="3" w:tplc="62DBCD87">
      <w:start w:val="1"/>
      <w:numFmt w:val="decimal"/>
      <w:suff w:val="tab"/>
      <w:lvlText w:val="%1."/>
      <w:lvlJc w:val="left"/>
      <w:pPr/>
      <w:rPr/>
    </w:lvl>
    <w:lvl w:ilvl="4" w:tplc="1E973B49">
      <w:start w:val="1"/>
      <w:numFmt w:val="decimal"/>
      <w:suff w:val="tab"/>
      <w:lvlText w:val="%1."/>
      <w:lvlJc w:val="left"/>
      <w:pPr/>
      <w:rPr/>
    </w:lvl>
    <w:lvl w:ilvl="5" w:tplc="1B557F6A">
      <w:start w:val="1"/>
      <w:numFmt w:val="decimal"/>
      <w:suff w:val="tab"/>
      <w:lvlText w:val="%1."/>
      <w:lvlJc w:val="left"/>
      <w:pPr/>
      <w:rPr/>
    </w:lvl>
    <w:lvl w:ilvl="6" w:tplc="1AFE7DEF">
      <w:start w:val="1"/>
      <w:numFmt w:val="decimal"/>
      <w:suff w:val="tab"/>
      <w:lvlText w:val="%1."/>
      <w:lvlJc w:val="left"/>
      <w:pPr/>
      <w:rPr/>
    </w:lvl>
    <w:lvl w:ilvl="7" w:tplc="54ABC811">
      <w:start w:val="1"/>
      <w:numFmt w:val="decimal"/>
      <w:suff w:val="tab"/>
      <w:lvlText w:val="%1."/>
      <w:lvlJc w:val="left"/>
      <w:pPr/>
      <w:rPr/>
    </w:lvl>
    <w:lvl w:ilvl="8" w:tplc="5837D6FB">
      <w:start w:val="1"/>
      <w:numFmt w:val="decimal"/>
      <w:suff w:val="tab"/>
      <w:lvlText w:val="%1."/>
      <w:lvlJc w:val="left"/>
      <w:pPr/>
      <w:rPr/>
    </w:lvl>
  </w:abstractNum>
  <w:abstractNum w:abstractNumId="1">
    <w:nsid w:val="3C1E11F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43683BC3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29867FD"/>
    <w:multiLevelType w:val="hybridMultilevel"/>
    <w:lvl w:ilvl="0">
      <w:start w:val="1"/>
      <w:numFmt w:val="upperRoman"/>
      <w:suff w:val="tab"/>
      <w:lvlText w:val="%1."/>
      <w:legacy w:legacy="1" w:legacyIndent="720" w:legacySpace="0"/>
      <w:lvlJc w:val="left"/>
      <w:pPr>
        <w:ind w:hanging="720" w:left="720"/>
      </w:pPr>
      <w:rPr/>
    </w:lvl>
    <w:lvl w:ilvl="1" w:tplc="19100998">
      <w:start w:val="1"/>
      <w:numFmt w:val="decimal"/>
      <w:suff w:val="tab"/>
      <w:lvlText w:val="%1."/>
      <w:lvlJc w:val="left"/>
      <w:pPr/>
      <w:rPr/>
    </w:lvl>
    <w:lvl w:ilvl="2" w:tplc="5C2C963B">
      <w:start w:val="1"/>
      <w:numFmt w:val="decimal"/>
      <w:suff w:val="tab"/>
      <w:lvlText w:val="%1."/>
      <w:lvlJc w:val="left"/>
      <w:pPr/>
      <w:rPr/>
    </w:lvl>
    <w:lvl w:ilvl="3" w:tplc="21D94285">
      <w:start w:val="1"/>
      <w:numFmt w:val="decimal"/>
      <w:suff w:val="tab"/>
      <w:lvlText w:val="%1."/>
      <w:lvlJc w:val="left"/>
      <w:pPr/>
      <w:rPr/>
    </w:lvl>
    <w:lvl w:ilvl="4" w:tplc="09762FDD">
      <w:start w:val="1"/>
      <w:numFmt w:val="decimal"/>
      <w:suff w:val="tab"/>
      <w:lvlText w:val="%1."/>
      <w:lvlJc w:val="left"/>
      <w:pPr/>
      <w:rPr/>
    </w:lvl>
    <w:lvl w:ilvl="5" w:tplc="1702AB82">
      <w:start w:val="1"/>
      <w:numFmt w:val="decimal"/>
      <w:suff w:val="tab"/>
      <w:lvlText w:val="%1."/>
      <w:lvlJc w:val="left"/>
      <w:pPr/>
      <w:rPr/>
    </w:lvl>
    <w:lvl w:ilvl="6" w:tplc="2C945819">
      <w:start w:val="1"/>
      <w:numFmt w:val="decimal"/>
      <w:suff w:val="tab"/>
      <w:lvlText w:val="%1."/>
      <w:lvlJc w:val="left"/>
      <w:pPr/>
      <w:rPr/>
    </w:lvl>
    <w:lvl w:ilvl="7" w:tplc="2F9501DF">
      <w:start w:val="1"/>
      <w:numFmt w:val="decimal"/>
      <w:suff w:val="tab"/>
      <w:lvlText w:val="%1."/>
      <w:lvlJc w:val="left"/>
      <w:pPr/>
      <w:rPr/>
    </w:lvl>
    <w:lvl w:ilvl="8" w:tplc="4889C4AC">
      <w:start w:val="1"/>
      <w:numFmt w:val="decimal"/>
      <w:suff w:val="tab"/>
      <w:lvlText w:val="%1."/>
      <w:lvlJc w:val="left"/>
      <w:pPr/>
      <w:rPr/>
    </w:lvl>
  </w:abstractNum>
  <w:abstractNum w:abstractNumId="4">
    <w:nsid w:val="56C6435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  <w:lvlOverride w:ilvl="0">
      <w:lvl w:ilvl="0">
        <w:start w:val="1"/>
        <w:numFmt w:val="bullet"/>
        <w:suff w:val="tab"/>
        <w:lvlText w:val=""/>
        <w:legacy w:legacy="1" w:legacyIndent="283" w:legacySpace="0"/>
        <w:lvlJc w:val="left"/>
        <w:pPr>
          <w:ind w:hanging="283" w:left="1701"/>
        </w:pPr>
        <w:rPr>
          <w:rFonts w:ascii="Wingdings" w:hAnsi="Wingdings"/>
          <w:b w:val="0"/>
          <w:i w:val="0"/>
          <w:sz w:val="24"/>
          <w:u w:val="none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paragraph" w:styleId="P3">
    <w:name w:val="Body Text 2"/>
    <w:basedOn w:val="P0"/>
    <w:pPr>
      <w:jc w:val="center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character" w:styleId="C5">
    <w:name w:val="apple-converted-space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w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