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A926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8"/>
        </w:rPr>
      </w:pPr>
      <w:r>
        <w:rPr>
          <w:b w:val="1"/>
          <w:sz w:val="28"/>
        </w:rPr>
        <w:t>ЗАНЯТИЕ 4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Тема 6.4 « РЕГУЛЯЦИЯ ОБМЕНА ВЕЩЕСТВ. ГОРМОНЫ»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РУБЕЖНЫЙ КОНТРОЛЬ</w:t>
      </w:r>
    </w:p>
    <w:p>
      <w:pPr>
        <w:pStyle w:val="P1"/>
        <w:tabs>
          <w:tab w:val="left" w:pos="4065" w:leader="none"/>
        </w:tabs>
        <w:ind w:firstLine="709"/>
        <w:jc w:val="left"/>
        <w:rPr>
          <w:sz w:val="28"/>
          <w:u w:val="single"/>
        </w:rPr>
      </w:pPr>
      <w:r>
        <w:rPr>
          <w:sz w:val="28"/>
          <w:u w:val="single"/>
        </w:rPr>
        <w:t>Обоснование темы.</w:t>
        <w:tab/>
      </w:r>
    </w:p>
    <w:p>
      <w:pPr>
        <w:pStyle w:val="P1"/>
        <w:ind w:firstLine="709"/>
        <w:jc w:val="both"/>
        <w:rPr>
          <w:sz w:val="28"/>
        </w:rPr>
      </w:pPr>
      <w:r>
        <w:rPr>
          <w:sz w:val="28"/>
        </w:rPr>
        <w:t>Обобщение материала по данному разделу необходимо для углубления и систематизации знаний по пройденной теме, что является, несомненно, важным для будущего врача при изучении патогенетических основ метаболических нарушений.</w:t>
      </w:r>
    </w:p>
    <w:p>
      <w:pPr>
        <w:pStyle w:val="P1"/>
        <w:ind w:firstLine="709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проверить знания студентов по разделу «Регуляция обмена веществ. Гормоны» с учетом:</w:t>
      </w:r>
    </w:p>
    <w:p>
      <w:pPr>
        <w:pStyle w:val="P1"/>
        <w:ind w:firstLine="709"/>
        <w:jc w:val="both"/>
        <w:rPr>
          <w:sz w:val="28"/>
        </w:rPr>
      </w:pPr>
      <w:r>
        <w:rPr>
          <w:sz w:val="28"/>
        </w:rPr>
        <w:t>1. Знания строения и характеристики гормонов надпочечников, поджелудочной и щитовидной желез, а также гормонов, регулирующих водно-солевой обмен;</w:t>
      </w:r>
    </w:p>
    <w:p>
      <w:pPr>
        <w:pStyle w:val="P1"/>
        <w:ind w:firstLine="709"/>
        <w:jc w:val="both"/>
        <w:rPr>
          <w:sz w:val="28"/>
        </w:rPr>
      </w:pPr>
      <w:r>
        <w:rPr>
          <w:sz w:val="28"/>
        </w:rPr>
        <w:t>2. Умения решать ситуационные задачи.</w:t>
      </w:r>
    </w:p>
    <w:p>
      <w:pPr>
        <w:pStyle w:val="P1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pStyle w:val="P1"/>
        <w:ind w:firstLine="709"/>
        <w:jc w:val="both"/>
        <w:rPr>
          <w:sz w:val="28"/>
        </w:rPr>
      </w:pPr>
      <w:r>
        <w:rPr>
          <w:sz w:val="28"/>
        </w:rPr>
        <w:t xml:space="preserve">Роль гормонов в системе регуляции метаболизма. Характеристика гормонов поджелудочной железы, надпочечников, щитовидной железы и их метаболические эффекты. Гормоны, регулирующие фосфорно-кальциевый обмен: паратирин, кальцитриол, кальцитонин. Патология фосфорно-кальциевого обмена – рахит. 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 xml:space="preserve">ВОПРОСЫ К ЗАНЯТИЮ 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Понятие о гормонах и эндокринных железах.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Химическая природа гормонов. Классификация. Общие свойства гормонов.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Общие принципы механизма синтеза и секреции гормонов. Либерины, статины, тропные гормоны (АКТГ, ТТГ, СТГ).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Транспорт гормонов кровью. Органы – мишени, понятие о рецепторах гормонов.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Механизм действия гормонов:  а) мембранно-внутриклеточный;</w:t>
      </w:r>
    </w:p>
    <w:p>
      <w:pPr>
        <w:pStyle w:val="P1"/>
        <w:jc w:val="both"/>
        <w:rPr>
          <w:sz w:val="28"/>
        </w:rPr>
      </w:pPr>
      <w:r>
        <w:rPr>
          <w:sz w:val="28"/>
        </w:rPr>
        <w:t xml:space="preserve">                                                         б) цитозольный.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Вторичные посредники и их роль в передаче гормонального сигнала в клетку. Химическая природа вторичных посредников.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Аденилатциклазная и гуанилатциклазная системы, роль циклических нуклеотидов.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Са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и метаболитов фосфолипидов в реализации мембранно-внутриклеточного механизма гормонального эффекта.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Гормоны поджелудочной железы: инсулин, глюкагон. Химическая природа, строение, механизм действия, метаболическое действие в органах - мишенях.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Изменение гормонального статуса и метаболизма при сахарном диабете.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Гормоны мозгового слоя надпочечников: адреналин, норадреналин. Биосинтез, механизм действия, влияние на обмен веществ (углеводов, липидов). Катаболизм.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Гормоны гипоталамуса (вазопрессин, окситоцин).</w:t>
      </w:r>
    </w:p>
    <w:p>
      <w:pPr>
        <w:pStyle w:val="P1"/>
        <w:numPr>
          <w:ilvl w:val="0"/>
          <w:numId w:val="2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 xml:space="preserve"> Гормоны щитовидной железы (тироксин, трийодтиронин). Биосинтез, механизм действия, влияние на обмен веществ, катаболизм.</w:t>
      </w:r>
    </w:p>
    <w:p>
      <w:pPr>
        <w:pStyle w:val="P1"/>
        <w:numPr>
          <w:ilvl w:val="0"/>
          <w:numId w:val="2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 xml:space="preserve"> Гипо- и гиперфункция щитовидной железы. Эндемический зоб, микседема, кретинизм, Базедова болезнь. </w:t>
      </w:r>
    </w:p>
    <w:p>
      <w:pPr>
        <w:pStyle w:val="P1"/>
        <w:numPr>
          <w:ilvl w:val="0"/>
          <w:numId w:val="2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 xml:space="preserve"> Гормоны коры надпочечников: глюкокортикоиды и минералокортикоиды. Строение, механизм действия, влияние на обмен веществ, катаболизм. Гипо- и гиперфункция коры надпочечников (болезнь Аддисона, синдром Кушинга). 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Электролитный состав биологических жидкостей. Основные внутри-  и внеклеточные катионы и анионы (Na</w:t>
      </w:r>
      <w:r>
        <w:rPr>
          <w:sz w:val="28"/>
          <w:vertAlign w:val="superscript"/>
        </w:rPr>
        <w:t>+,</w:t>
      </w:r>
      <w:r>
        <w:rPr>
          <w:sz w:val="28"/>
        </w:rPr>
        <w:t xml:space="preserve"> K</w:t>
      </w:r>
      <w:r>
        <w:rPr>
          <w:sz w:val="28"/>
          <w:vertAlign w:val="superscript"/>
        </w:rPr>
        <w:t>+</w:t>
      </w:r>
      <w:r>
        <w:rPr>
          <w:sz w:val="28"/>
        </w:rPr>
        <w:t>, Mg</w:t>
      </w:r>
      <w:r>
        <w:rPr>
          <w:sz w:val="28"/>
          <w:vertAlign w:val="superscript"/>
        </w:rPr>
        <w:t>2+</w:t>
      </w:r>
      <w:r>
        <w:rPr>
          <w:sz w:val="28"/>
        </w:rPr>
        <w:t>, Cl־, HCO</w:t>
      </w:r>
      <w:r>
        <w:rPr>
          <w:sz w:val="28"/>
          <w:vertAlign w:val="subscript"/>
        </w:rPr>
        <w:t>3</w:t>
      </w:r>
      <w:r>
        <w:rPr>
          <w:sz w:val="28"/>
        </w:rPr>
        <w:t>־, фосфаты).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Роль вазопрессина и альдостерона в регуляции осмотического давления и объема внеклеточной жидкости.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Ренин-ангиотензин-альдостероновая система – важнейший фактор сохранения постоянства объема внеклеточной жидкости и крови.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Фосфорно-кальциевый обмен. Функции ионов Са</w:t>
      </w:r>
      <w:r>
        <w:rPr>
          <w:sz w:val="28"/>
          <w:vertAlign w:val="superscript"/>
        </w:rPr>
        <w:t xml:space="preserve">2+ </w:t>
      </w:r>
      <w:r>
        <w:rPr>
          <w:sz w:val="28"/>
        </w:rPr>
        <w:t>и Р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в тканях. Роль витамина Д в обмене кальция. Гормональная регуляция фосфорно-кальциевого обмена паратирином, кальцитонином и производным витамина Д 1,25 – диоксихолекальциферолом (1,25-(-ОН)</w:t>
      </w:r>
      <w:r>
        <w:rPr>
          <w:sz w:val="28"/>
          <w:vertAlign w:val="subscript"/>
        </w:rPr>
        <w:t>2</w:t>
      </w:r>
      <w:r>
        <w:rPr>
          <w:sz w:val="28"/>
        </w:rPr>
        <w:t>-Д</w:t>
      </w:r>
      <w:r>
        <w:rPr>
          <w:sz w:val="28"/>
          <w:vertAlign w:val="subscript"/>
        </w:rPr>
        <w:t>3</w:t>
      </w:r>
      <w:r>
        <w:rPr>
          <w:sz w:val="28"/>
        </w:rPr>
        <w:t>).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 Нарушение фосфорно-кальциевого обмена при рахите.</w:t>
      </w:r>
    </w:p>
    <w:p>
      <w:pPr>
        <w:pStyle w:val="P1"/>
        <w:tabs>
          <w:tab w:val="left" w:pos="360" w:leader="none"/>
        </w:tabs>
        <w:rPr>
          <w:b w:val="1"/>
          <w:sz w:val="28"/>
        </w:rPr>
      </w:pPr>
    </w:p>
    <w:p>
      <w:pPr>
        <w:pStyle w:val="P1"/>
        <w:tabs>
          <w:tab w:val="left" w:pos="360" w:leader="none"/>
        </w:tabs>
        <w:rPr>
          <w:b w:val="1"/>
          <w:sz w:val="28"/>
        </w:rPr>
      </w:pPr>
      <w:r>
        <w:rPr>
          <w:b w:val="1"/>
          <w:sz w:val="28"/>
        </w:rPr>
        <w:t xml:space="preserve">МЕТОДИЧЕСКИЕ УКАЗАНИЯ </w:t>
      </w:r>
    </w:p>
    <w:p>
      <w:pPr>
        <w:pStyle w:val="P1"/>
        <w:tabs>
          <w:tab w:val="left" w:pos="360" w:leader="none"/>
        </w:tabs>
        <w:rPr>
          <w:b w:val="1"/>
          <w:sz w:val="28"/>
        </w:rPr>
      </w:pPr>
      <w:r>
        <w:rPr>
          <w:b w:val="1"/>
          <w:sz w:val="28"/>
        </w:rPr>
        <w:t>К ПРАКТИЧЕСКОЙ ЧАСТИ ЗАНЯТИЯ</w:t>
      </w:r>
    </w:p>
    <w:p>
      <w:pPr>
        <w:pStyle w:val="P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Тестовый контроль - 20 мин</w:t>
      </w:r>
    </w:p>
    <w:p>
      <w:pPr>
        <w:pStyle w:val="P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Опрос - 85 мин</w:t>
      </w:r>
    </w:p>
    <w:p>
      <w:pPr>
        <w:pStyle w:val="P1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Решение ситуационных задач - 30 мин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EF63D6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48A117CF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3BEE57A9">
      <w:start w:val="1"/>
      <w:numFmt w:val="decimal"/>
      <w:suff w:val="tab"/>
      <w:lvlText w:val="%1."/>
      <w:lvlJc w:val="left"/>
      <w:pPr/>
      <w:rPr/>
    </w:lvl>
    <w:lvl w:ilvl="2" w:tplc="59A53BF6">
      <w:start w:val="1"/>
      <w:numFmt w:val="decimal"/>
      <w:suff w:val="tab"/>
      <w:lvlText w:val="%1."/>
      <w:lvlJc w:val="left"/>
      <w:pPr/>
      <w:rPr/>
    </w:lvl>
    <w:lvl w:ilvl="3" w:tplc="2452150C">
      <w:start w:val="1"/>
      <w:numFmt w:val="decimal"/>
      <w:suff w:val="tab"/>
      <w:lvlText w:val="%1."/>
      <w:lvlJc w:val="left"/>
      <w:pPr/>
      <w:rPr/>
    </w:lvl>
    <w:lvl w:ilvl="4" w:tplc="52BE3A03">
      <w:start w:val="1"/>
      <w:numFmt w:val="decimal"/>
      <w:suff w:val="tab"/>
      <w:lvlText w:val="%1."/>
      <w:lvlJc w:val="left"/>
      <w:pPr/>
      <w:rPr/>
    </w:lvl>
    <w:lvl w:ilvl="5" w:tplc="4CBE86B5">
      <w:start w:val="1"/>
      <w:numFmt w:val="decimal"/>
      <w:suff w:val="tab"/>
      <w:lvlText w:val="%1."/>
      <w:lvlJc w:val="left"/>
      <w:pPr/>
      <w:rPr/>
    </w:lvl>
    <w:lvl w:ilvl="6" w:tplc="6F79DFB0">
      <w:start w:val="1"/>
      <w:numFmt w:val="decimal"/>
      <w:suff w:val="tab"/>
      <w:lvlText w:val="%1."/>
      <w:lvlJc w:val="left"/>
      <w:pPr/>
      <w:rPr/>
    </w:lvl>
    <w:lvl w:ilvl="7" w:tplc="052BE0C8">
      <w:start w:val="1"/>
      <w:numFmt w:val="decimal"/>
      <w:suff w:val="tab"/>
      <w:lvlText w:val="%1."/>
      <w:lvlJc w:val="left"/>
      <w:pPr/>
      <w:rPr/>
    </w:lvl>
    <w:lvl w:ilvl="8" w:tplc="4FDC2B7F">
      <w:start w:val="1"/>
      <w:numFmt w:val="decimal"/>
      <w:suff w:val="tab"/>
      <w:lvlText w:val="%1."/>
      <w:lvlJc w:val="left"/>
      <w:pPr/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 2"/>
    <w:basedOn w:val="P0"/>
    <w:pPr>
      <w:spacing w:lineRule="auto" w:line="240" w:after="0" w:beforeAutospacing="0" w:afterAutospacing="0"/>
      <w:jc w:val="center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