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BA9269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8"/>
        </w:rPr>
      </w:pPr>
      <w:r>
        <w:rPr>
          <w:b w:val="1"/>
          <w:sz w:val="28"/>
        </w:rPr>
        <w:t>ЗАНЯТИЕ 4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Тема 6.4 « РЕГУЛЯЦИЯ ОБМЕНА ВЕЩЕСТВ. ГОРМОНЫ»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>РУБЕЖНЫЙ КОНТРОЛЬ</w:t>
      </w:r>
    </w:p>
    <w:p>
      <w:pPr>
        <w:pStyle w:val="P1"/>
        <w:tabs>
          <w:tab w:val="left" w:pos="4065" w:leader="none"/>
        </w:tabs>
        <w:ind w:firstLine="709"/>
        <w:jc w:val="left"/>
        <w:rPr>
          <w:sz w:val="28"/>
          <w:u w:val="single"/>
        </w:rPr>
      </w:pPr>
      <w:r>
        <w:rPr>
          <w:sz w:val="28"/>
          <w:u w:val="single"/>
        </w:rPr>
        <w:t>Обоснование темы.</w:t>
        <w:tab/>
      </w:r>
    </w:p>
    <w:p>
      <w:pPr>
        <w:pStyle w:val="P1"/>
        <w:ind w:firstLine="709"/>
        <w:jc w:val="both"/>
        <w:rPr>
          <w:sz w:val="28"/>
        </w:rPr>
      </w:pPr>
      <w:r>
        <w:rPr>
          <w:sz w:val="28"/>
        </w:rPr>
        <w:t>Обобщение материала по данному разделу необходимо для углубления и систематизации знаний по пройденной теме, что является, несомненно, важным для будущего врача при изучении патогенетических основ метаболических нарушений.</w:t>
      </w:r>
    </w:p>
    <w:p>
      <w:pPr>
        <w:pStyle w:val="P1"/>
        <w:ind w:firstLine="709"/>
        <w:jc w:val="both"/>
        <w:rPr>
          <w:sz w:val="28"/>
        </w:rPr>
      </w:pPr>
      <w:r>
        <w:rPr>
          <w:sz w:val="28"/>
          <w:u w:val="single"/>
        </w:rPr>
        <w:t>Цель занятия:</w:t>
      </w:r>
      <w:r>
        <w:rPr>
          <w:sz w:val="28"/>
        </w:rPr>
        <w:t xml:space="preserve"> проверить знания студентов по разделу «Регуляция обмена веществ. Гормоны» с учетом:</w:t>
      </w:r>
    </w:p>
    <w:p>
      <w:pPr>
        <w:pStyle w:val="P1"/>
        <w:ind w:firstLine="709"/>
        <w:jc w:val="both"/>
        <w:rPr>
          <w:sz w:val="28"/>
        </w:rPr>
      </w:pPr>
      <w:r>
        <w:rPr>
          <w:sz w:val="28"/>
        </w:rPr>
        <w:t>1. Знания строения и характеристики гормонов надпочечников, поджелудочной и щитовидной желез, а также гормонов, регулирующих водно-солевой обмен;</w:t>
      </w:r>
    </w:p>
    <w:p>
      <w:pPr>
        <w:pStyle w:val="P1"/>
        <w:ind w:firstLine="709"/>
        <w:jc w:val="both"/>
        <w:rPr>
          <w:sz w:val="28"/>
        </w:rPr>
      </w:pPr>
      <w:r>
        <w:rPr>
          <w:sz w:val="28"/>
        </w:rPr>
        <w:t>2. Умения решать ситуационные задачи.</w:t>
      </w:r>
    </w:p>
    <w:p>
      <w:pPr>
        <w:pStyle w:val="P1"/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pStyle w:val="P1"/>
        <w:ind w:firstLine="709"/>
        <w:jc w:val="both"/>
        <w:rPr>
          <w:sz w:val="28"/>
        </w:rPr>
      </w:pPr>
      <w:r>
        <w:rPr>
          <w:sz w:val="28"/>
        </w:rPr>
        <w:t xml:space="preserve">Роль гормонов в системе регуляции метаболизма. Характеристика гормонов поджелудочной железы, надпочечников, щитовидной железы и их метаболические эффекты. Гормоны, регулирующие фосфорно-кальциевый обмен: паратирин, кальцитриол, кальцитонин. Патология фосфорно-кальциевого обмена – рахит. </w:t>
      </w:r>
    </w:p>
    <w:p>
      <w:pPr>
        <w:pStyle w:val="P1"/>
        <w:rPr>
          <w:b w:val="1"/>
          <w:sz w:val="28"/>
        </w:rPr>
      </w:pPr>
      <w:r>
        <w:rPr>
          <w:b w:val="1"/>
          <w:sz w:val="28"/>
        </w:rPr>
        <w:t xml:space="preserve">ВОПРОСЫ К ЗАНЯТИЮ 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Понятие о гормонах и эндокринных железах.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Химическая природа гормонов. Классификация. Общие свойства гормонов.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Общие принципы механизма синтеза и секреции гормонов. Либерины, статины, тропные гормоны (АКТГ, ТТГ, СТГ).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Транспорт гормонов кровью. Органы – мишени, понятие о рецепторах гормонов.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Механизм действия гормонов:  а) мембранно-внутриклеточный;</w:t>
      </w:r>
    </w:p>
    <w:p>
      <w:pPr>
        <w:pStyle w:val="P1"/>
        <w:jc w:val="both"/>
        <w:rPr>
          <w:sz w:val="28"/>
        </w:rPr>
      </w:pPr>
      <w:r>
        <w:rPr>
          <w:sz w:val="28"/>
        </w:rPr>
        <w:t xml:space="preserve">                                                         б) цитозольный.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Вторичные посредники и их роль в передаче гормонального сигнала в клетку. Химическая природа вторичных посредников.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Аденилатциклазная и гуанилатциклазная системы, роль циклических нуклеотидов.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Роль Са</w:t>
      </w:r>
      <w:r>
        <w:rPr>
          <w:sz w:val="28"/>
          <w:vertAlign w:val="superscript"/>
        </w:rPr>
        <w:t>2+</w:t>
      </w:r>
      <w:r>
        <w:rPr>
          <w:sz w:val="28"/>
        </w:rPr>
        <w:t xml:space="preserve"> и метаболитов фосфолипидов в реализации мембранно-внутриклеточного механизма гормонального эффекта.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Гормоны поджелудочной железы: инсулин, глюкагон. Химическая природа, строение, механизм действия, метаболическое действие в органах - мишенях.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Изменение гормонального статуса и метаболизма при сахарном диабете.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Гормоны мозгового слоя надпочечников: адреналин, норадреналин. Биосинтез, механизм действия, влияние на обмен веществ (углеводов, липидов). Катаболизм.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Гормоны гипоталамуса (вазопрессин, окситоцин).</w:t>
      </w:r>
    </w:p>
    <w:p>
      <w:pPr>
        <w:pStyle w:val="P1"/>
        <w:numPr>
          <w:ilvl w:val="0"/>
          <w:numId w:val="2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 xml:space="preserve"> Гормоны щитовидной железы (тироксин, трийодтиронин). Биосинтез, механизм действия, влияние на обмен веществ, катаболизм.</w:t>
      </w:r>
    </w:p>
    <w:p>
      <w:pPr>
        <w:pStyle w:val="P1"/>
        <w:numPr>
          <w:ilvl w:val="0"/>
          <w:numId w:val="2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 xml:space="preserve"> Гипо- и гиперфункция щитовидной железы. Эндемический зоб, микседема, кретинизм, Базедова болезнь. </w:t>
      </w:r>
    </w:p>
    <w:p>
      <w:pPr>
        <w:pStyle w:val="P1"/>
        <w:numPr>
          <w:ilvl w:val="0"/>
          <w:numId w:val="2"/>
        </w:numPr>
        <w:tabs>
          <w:tab w:val="left" w:pos="516" w:leader="none"/>
        </w:tabs>
        <w:jc w:val="both"/>
        <w:rPr>
          <w:sz w:val="28"/>
        </w:rPr>
      </w:pPr>
      <w:r>
        <w:rPr>
          <w:sz w:val="28"/>
        </w:rPr>
        <w:t xml:space="preserve"> Гормоны коры надпочечников: глюкокортикоиды и минералокортикоиды. Строение, механизм действия, влияние на обмен веществ, катаболизм. Гипо- и гиперфункция коры надпочечников (болезнь Аддисона, синдром Кушинга). 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Электролитный состав биологических жидкостей. Основные внутри-  и внеклеточные катионы и анионы (Na</w:t>
      </w:r>
      <w:r>
        <w:rPr>
          <w:sz w:val="28"/>
          <w:vertAlign w:val="superscript"/>
        </w:rPr>
        <w:t>+,</w:t>
      </w:r>
      <w:r>
        <w:rPr>
          <w:sz w:val="28"/>
        </w:rPr>
        <w:t xml:space="preserve"> K</w:t>
      </w:r>
      <w:r>
        <w:rPr>
          <w:sz w:val="28"/>
          <w:vertAlign w:val="superscript"/>
        </w:rPr>
        <w:t>+</w:t>
      </w:r>
      <w:r>
        <w:rPr>
          <w:sz w:val="28"/>
        </w:rPr>
        <w:t>, Mg</w:t>
      </w:r>
      <w:r>
        <w:rPr>
          <w:sz w:val="28"/>
          <w:vertAlign w:val="superscript"/>
        </w:rPr>
        <w:t>2+</w:t>
      </w:r>
      <w:r>
        <w:rPr>
          <w:sz w:val="28"/>
        </w:rPr>
        <w:t>, Cl־, HCO</w:t>
      </w:r>
      <w:r>
        <w:rPr>
          <w:sz w:val="28"/>
          <w:vertAlign w:val="subscript"/>
        </w:rPr>
        <w:t>3</w:t>
      </w:r>
      <w:r>
        <w:rPr>
          <w:sz w:val="28"/>
        </w:rPr>
        <w:t>־, фосфаты).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Роль вазопрессина и альдостерона в регуляции осмотического давления и объема внеклеточной жидкости.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Ренин-ангиотензин-альдостероновая система – важнейший фактор сохранения постоянства объема внеклеточной жидкости и крови.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Фосфорно-кальциевый обмен. Функции ионов Са</w:t>
      </w:r>
      <w:r>
        <w:rPr>
          <w:sz w:val="28"/>
          <w:vertAlign w:val="superscript"/>
        </w:rPr>
        <w:t xml:space="preserve">2+ </w:t>
      </w:r>
      <w:r>
        <w:rPr>
          <w:sz w:val="28"/>
        </w:rPr>
        <w:t>и Р</w:t>
      </w:r>
      <w:r>
        <w:rPr>
          <w:sz w:val="28"/>
          <w:vertAlign w:val="subscript"/>
        </w:rPr>
        <w:t>н</w:t>
      </w:r>
      <w:r>
        <w:rPr>
          <w:sz w:val="28"/>
        </w:rPr>
        <w:t xml:space="preserve"> в тканях. Роль витамина Д в обмене кальция. Гормональная регуляция фосфорно-кальциевого обмена паратирином, кальцитонином и производным витамина Д 1,25 – диоксихолекальциферолом (1,25-(-ОН)</w:t>
      </w:r>
      <w:r>
        <w:rPr>
          <w:sz w:val="28"/>
          <w:vertAlign w:val="subscript"/>
        </w:rPr>
        <w:t>2</w:t>
      </w:r>
      <w:r>
        <w:rPr>
          <w:sz w:val="28"/>
        </w:rPr>
        <w:t>-Д</w:t>
      </w:r>
      <w:r>
        <w:rPr>
          <w:sz w:val="28"/>
          <w:vertAlign w:val="subscript"/>
        </w:rPr>
        <w:t>3</w:t>
      </w:r>
      <w:r>
        <w:rPr>
          <w:sz w:val="28"/>
        </w:rPr>
        <w:t>).</w:t>
      </w:r>
    </w:p>
    <w:p>
      <w:pPr>
        <w:pStyle w:val="P1"/>
        <w:numPr>
          <w:ilvl w:val="0"/>
          <w:numId w:val="2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 Нарушение фосфорно-кальциевого обмена при рахите.</w:t>
      </w:r>
    </w:p>
    <w:p>
      <w:pPr>
        <w:pStyle w:val="P1"/>
        <w:tabs>
          <w:tab w:val="left" w:pos="360" w:leader="none"/>
        </w:tabs>
        <w:rPr>
          <w:b w:val="1"/>
          <w:sz w:val="28"/>
        </w:rPr>
      </w:pPr>
    </w:p>
    <w:p>
      <w:pPr>
        <w:pStyle w:val="P1"/>
        <w:tabs>
          <w:tab w:val="left" w:pos="360" w:leader="none"/>
        </w:tabs>
        <w:rPr>
          <w:b w:val="1"/>
          <w:sz w:val="28"/>
        </w:rPr>
      </w:pPr>
      <w:r>
        <w:rPr>
          <w:b w:val="1"/>
          <w:sz w:val="28"/>
        </w:rPr>
        <w:t xml:space="preserve">МЕТОДИЧЕСКИЕ УКАЗАНИЯ </w:t>
      </w:r>
    </w:p>
    <w:p>
      <w:pPr>
        <w:pStyle w:val="P1"/>
        <w:tabs>
          <w:tab w:val="left" w:pos="360" w:leader="none"/>
        </w:tabs>
        <w:rPr>
          <w:b w:val="1"/>
          <w:sz w:val="28"/>
        </w:rPr>
      </w:pPr>
      <w:r>
        <w:rPr>
          <w:b w:val="1"/>
          <w:sz w:val="28"/>
        </w:rPr>
        <w:t>К ПРАКТИЧЕСКОЙ ЧАСТИ ЗАНЯТИЯ</w:t>
      </w:r>
    </w:p>
    <w:p>
      <w:pPr>
        <w:pStyle w:val="P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Тестовый контроль - 20 мин</w:t>
      </w:r>
    </w:p>
    <w:p>
      <w:pPr>
        <w:pStyle w:val="P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Опрос - 85 мин</w:t>
      </w:r>
    </w:p>
    <w:p>
      <w:pPr>
        <w:pStyle w:val="P1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Решение ситуационных задач - 30 мин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EF63D69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8A117CF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3BEE57A9">
      <w:start w:val="1"/>
      <w:numFmt w:val="decimal"/>
      <w:suff w:val="tab"/>
      <w:lvlText w:val="%1."/>
      <w:lvlJc w:val="left"/>
      <w:pPr/>
      <w:rPr/>
    </w:lvl>
    <w:lvl w:ilvl="2" w:tplc="59A53BF6">
      <w:start w:val="1"/>
      <w:numFmt w:val="decimal"/>
      <w:suff w:val="tab"/>
      <w:lvlText w:val="%1."/>
      <w:lvlJc w:val="left"/>
      <w:pPr/>
      <w:rPr/>
    </w:lvl>
    <w:lvl w:ilvl="3" w:tplc="2452150C">
      <w:start w:val="1"/>
      <w:numFmt w:val="decimal"/>
      <w:suff w:val="tab"/>
      <w:lvlText w:val="%1."/>
      <w:lvlJc w:val="left"/>
      <w:pPr/>
      <w:rPr/>
    </w:lvl>
    <w:lvl w:ilvl="4" w:tplc="52BE3A03">
      <w:start w:val="1"/>
      <w:numFmt w:val="decimal"/>
      <w:suff w:val="tab"/>
      <w:lvlText w:val="%1."/>
      <w:lvlJc w:val="left"/>
      <w:pPr/>
      <w:rPr/>
    </w:lvl>
    <w:lvl w:ilvl="5" w:tplc="4CBE86B5">
      <w:start w:val="1"/>
      <w:numFmt w:val="decimal"/>
      <w:suff w:val="tab"/>
      <w:lvlText w:val="%1."/>
      <w:lvlJc w:val="left"/>
      <w:pPr/>
      <w:rPr/>
    </w:lvl>
    <w:lvl w:ilvl="6" w:tplc="6F79DFB0">
      <w:start w:val="1"/>
      <w:numFmt w:val="decimal"/>
      <w:suff w:val="tab"/>
      <w:lvlText w:val="%1."/>
      <w:lvlJc w:val="left"/>
      <w:pPr/>
      <w:rPr/>
    </w:lvl>
    <w:lvl w:ilvl="7" w:tplc="052BE0C8">
      <w:start w:val="1"/>
      <w:numFmt w:val="decimal"/>
      <w:suff w:val="tab"/>
      <w:lvlText w:val="%1."/>
      <w:lvlJc w:val="left"/>
      <w:pPr/>
      <w:rPr/>
    </w:lvl>
    <w:lvl w:ilvl="8" w:tplc="4FDC2B7F">
      <w:start w:val="1"/>
      <w:numFmt w:val="decimal"/>
      <w:suff w:val="tab"/>
      <w:lvlText w:val="%1."/>
      <w:lvlJc w:val="left"/>
      <w:pPr/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Body Text 2"/>
    <w:basedOn w:val="P0"/>
    <w:pPr>
      <w:spacing w:lineRule="auto" w:line="240" w:after="0" w:beforeAutospacing="0" w:afterAutospacing="0"/>
      <w:jc w:val="center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