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17D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Занятие 2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«МАТРИЧНЫЕ БИОСИНТЕЗЫ. БИОСИНТЕЗ ДНК и РНК»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Обоснование темы. </w:t>
      </w:r>
    </w:p>
    <w:p>
      <w:pPr>
        <w:ind w:firstLine="720"/>
        <w:jc w:val="both"/>
        <w:rPr>
          <w:sz w:val="28"/>
        </w:rPr>
      </w:pPr>
      <w:r>
        <w:rPr>
          <w:sz w:val="28"/>
        </w:rPr>
        <w:t>К числу важнейших научных открытий 20 века относится тот факт, что химической основой наследственности служит молекула ДНК. Передача и реализация наследственности осуществляется при участии разных видов РНК. При возникновении наследственных заболеваний происходит изменение структуры ДНК. Вместе с тем, любые нарушения, затрагивающие синтез РНК, немедленно отражаются на уровне синтеза белка и приводят к различным метаболическим сдвигам в клетке. Знание механизмов синтеза нуклеиновых кислот позволяет ответить на вопрос, какие патологические механизмы лежат в основе заболеваний, возникших на молекулярном уровне.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jc w:val="both"/>
        <w:rPr>
          <w:sz w:val="28"/>
        </w:rPr>
      </w:pPr>
      <w:r>
        <w:rPr>
          <w:sz w:val="28"/>
        </w:rPr>
        <w:t>1. Знать строение и функции ДНК и разных видов РНК.</w:t>
      </w:r>
    </w:p>
    <w:p>
      <w:pPr>
        <w:jc w:val="both"/>
        <w:rPr>
          <w:sz w:val="28"/>
        </w:rPr>
      </w:pPr>
      <w:r>
        <w:rPr>
          <w:sz w:val="28"/>
        </w:rPr>
        <w:t>2.Изучить виды передачи генетической информации: репликацию, транскрипции</w:t>
      </w:r>
    </w:p>
    <w:p>
      <w:pPr>
        <w:jc w:val="both"/>
        <w:rPr>
          <w:sz w:val="28"/>
        </w:rPr>
      </w:pPr>
      <w:r>
        <w:rPr>
          <w:sz w:val="28"/>
        </w:rPr>
        <w:t>3.Знать посттранскрипционные модификации РНК.</w:t>
      </w:r>
    </w:p>
    <w:p>
      <w:pPr>
        <w:jc w:val="both"/>
        <w:rPr>
          <w:sz w:val="28"/>
        </w:rPr>
      </w:pPr>
      <w:r>
        <w:rPr>
          <w:sz w:val="28"/>
        </w:rPr>
        <w:t xml:space="preserve">4.Уметь использовать знания о биосинтезе ДНК и РНК для понимания процессов роста и развития организма. </w:t>
      </w:r>
    </w:p>
    <w:p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Необходимый исходный уровень</w:t>
      </w:r>
      <w:r>
        <w:rPr>
          <w:sz w:val="28"/>
        </w:rPr>
        <w:t>:</w:t>
      </w:r>
    </w:p>
    <w:p>
      <w:pPr>
        <w:jc w:val="both"/>
        <w:rPr>
          <w:sz w:val="28"/>
        </w:rPr>
      </w:pPr>
      <w:r>
        <w:rPr>
          <w:sz w:val="28"/>
        </w:rPr>
        <w:t>Из курса биоорганической химии студент должен знать: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строение пуриновых и пиримидиновых мононуклеотидов;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иметь представление о первичной, вторичной и третичной структурах нуклеиновых кислот (ДНК, РНК);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уметь писать формулы ди- и тринуклеотидов.</w:t>
      </w:r>
    </w:p>
    <w:p>
      <w:pPr>
        <w:jc w:val="both"/>
        <w:rPr>
          <w:sz w:val="28"/>
        </w:rPr>
      </w:pPr>
      <w:r>
        <w:rPr>
          <w:sz w:val="28"/>
        </w:rPr>
        <w:t>Из курса биологии: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понятие о хромосомах;</w:t>
      </w:r>
    </w:p>
    <w:p>
      <w:pPr>
        <w:numPr>
          <w:ilvl w:val="0"/>
          <w:numId w:val="1"/>
        </w:numPr>
        <w:jc w:val="both"/>
        <w:rPr>
          <w:caps w:val="1"/>
          <w:sz w:val="28"/>
        </w:rPr>
      </w:pPr>
      <w:r>
        <w:rPr>
          <w:sz w:val="28"/>
        </w:rPr>
        <w:t>представление о биосинтезе нуклеиновых кислот.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понятии темы.</w:t>
      </w:r>
    </w:p>
    <w:p>
      <w:pPr>
        <w:ind w:firstLine="709"/>
        <w:jc w:val="both"/>
        <w:rPr>
          <w:caps w:val="1"/>
          <w:sz w:val="28"/>
        </w:rPr>
      </w:pPr>
      <w:r>
        <w:rPr>
          <w:sz w:val="28"/>
        </w:rPr>
        <w:t>Первичная структура нуклеиновых кислот, нуклеосомы, строение и функции мРНК, тРНК, рРНК, репликация, репарация, транскрипция, посттранскрипционные модификации РНК, мяРНК, сплайсосомы.</w:t>
      </w:r>
    </w:p>
    <w:p>
      <w:pPr>
        <w:pStyle w:val="P2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jc w:val="both"/>
        <w:rPr>
          <w:sz w:val="28"/>
        </w:rPr>
      </w:pPr>
      <w:r>
        <w:rPr>
          <w:sz w:val="28"/>
        </w:rPr>
        <w:t>1.Нуклеиновые кислоты: ДНК и РНК. Строение нуклеиновых кислот, их биологическая роль.</w:t>
      </w:r>
    </w:p>
    <w:p>
      <w:pPr>
        <w:jc w:val="both"/>
        <w:rPr>
          <w:sz w:val="28"/>
        </w:rPr>
      </w:pPr>
      <w:r>
        <w:rPr>
          <w:sz w:val="28"/>
        </w:rPr>
        <w:t>2. Вторичная структура ДНК и РНК. Типы РНК: рибосомальная, транспортная, матричная.</w:t>
      </w:r>
    </w:p>
    <w:p>
      <w:pPr>
        <w:pStyle w:val="P3"/>
        <w:rPr>
          <w:sz w:val="28"/>
        </w:rPr>
      </w:pPr>
      <w:r>
        <w:rPr>
          <w:sz w:val="28"/>
        </w:rPr>
        <w:t>3..Виды передачи генетической информации.</w:t>
      </w:r>
    </w:p>
    <w:p>
      <w:pPr>
        <w:jc w:val="both"/>
        <w:rPr>
          <w:sz w:val="28"/>
        </w:rPr>
      </w:pPr>
      <w:r>
        <w:rPr>
          <w:sz w:val="28"/>
        </w:rPr>
        <w:t>4. Биосинтез ДНК - репликация. Общий принцип матричного синтеза: сущность полуконсервативного механизма репликации: условия, ферменты. Представление о молекулярном механизме биосинтеза ДНК.</w:t>
      </w:r>
    </w:p>
    <w:p>
      <w:pPr>
        <w:jc w:val="both"/>
        <w:rPr>
          <w:sz w:val="28"/>
        </w:rPr>
      </w:pPr>
      <w:r>
        <w:rPr>
          <w:sz w:val="28"/>
        </w:rPr>
        <w:t>5.Биосинтез РНК – транскрипция: условия, ферменты. Понятие о транскриптоне. Процессинг РНК.</w:t>
      </w:r>
    </w:p>
    <w:p>
      <w:pPr>
        <w:jc w:val="both"/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К ПРАКТИЧЕСКОЙ ЧАСТИ ЗАНЯТИЯ</w:t>
      </w:r>
    </w:p>
    <w:p>
      <w:pPr>
        <w:ind w:left="360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ind w:left="360"/>
        <w:jc w:val="center"/>
        <w:rPr>
          <w:b w:val="1"/>
          <w:sz w:val="28"/>
        </w:rPr>
      </w:pPr>
      <w:r>
        <w:rPr>
          <w:b w:val="1"/>
          <w:sz w:val="28"/>
        </w:rPr>
        <w:t xml:space="preserve">Гидролиз нуклеопротеидов дрожжей и обнаружение </w:t>
      </w:r>
    </w:p>
    <w:p>
      <w:pPr>
        <w:ind w:left="360"/>
        <w:jc w:val="center"/>
        <w:rPr>
          <w:b w:val="1"/>
          <w:sz w:val="28"/>
        </w:rPr>
      </w:pPr>
      <w:r>
        <w:rPr>
          <w:b w:val="1"/>
          <w:sz w:val="28"/>
        </w:rPr>
        <w:t>продуктов их гидролиза</w:t>
      </w:r>
    </w:p>
    <w:p>
      <w:pPr>
        <w:ind w:firstLine="709"/>
        <w:jc w:val="both"/>
        <w:rPr>
          <w:i w:val="1"/>
          <w:sz w:val="28"/>
        </w:rPr>
      </w:pPr>
      <w:r>
        <w:rPr>
          <w:sz w:val="28"/>
          <w:u w:val="single"/>
        </w:rPr>
        <w:t>Ход работы</w:t>
      </w:r>
      <w:r>
        <w:rPr>
          <w:i w:val="1"/>
          <w:sz w:val="28"/>
          <w:u w:val="single"/>
        </w:rPr>
        <w:t>:</w:t>
      </w:r>
      <w:r>
        <w:rPr>
          <w:i w:val="1"/>
          <w:sz w:val="28"/>
        </w:rPr>
        <w:t xml:space="preserve"> </w:t>
      </w:r>
      <w:r>
        <w:rPr>
          <w:sz w:val="28"/>
        </w:rPr>
        <w:t xml:space="preserve">для изучения химического состава нуклеопротеидов проводят кислотный гидролиз дрожжей. Для этого помещают 2,5 г пекарских дрожжей в круглодонную колбу с воздушным холодильником, добавляют 20мл 10% раствора серной кислоты и нагревают содержимое колбы при кипячении в течение 1 часа. После охлаждения гидролизат фильтруют, с фильтратом проделывают качественные реакции на составные части нуклеопротеидов (гидролизат для студентов готовят лаборанты). </w:t>
      </w:r>
    </w:p>
    <w:p>
      <w:pPr>
        <w:ind w:left="900"/>
        <w:jc w:val="center"/>
        <w:rPr>
          <w:b w:val="1"/>
          <w:sz w:val="28"/>
        </w:rPr>
      </w:pPr>
    </w:p>
    <w:p>
      <w:pPr>
        <w:ind w:left="900"/>
        <w:jc w:val="center"/>
        <w:rPr>
          <w:b w:val="1"/>
          <w:sz w:val="28"/>
        </w:rPr>
      </w:pPr>
      <w:r>
        <w:rPr>
          <w:b w:val="1"/>
          <w:sz w:val="28"/>
        </w:rPr>
        <w:t>Биуретовая реакция на пептиды</w:t>
      </w:r>
    </w:p>
    <w:p>
      <w:pPr>
        <w:ind w:left="900"/>
        <w:jc w:val="center"/>
        <w:rPr>
          <w:b w:val="1"/>
          <w:sz w:val="28"/>
        </w:rPr>
      </w:pPr>
      <w:r>
        <w:rPr>
          <w:b w:val="1"/>
          <w:sz w:val="28"/>
        </w:rPr>
        <w:t>(Открытие пептидной связи)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</w:t>
      </w:r>
      <w:r>
        <w:rPr>
          <w:sz w:val="28"/>
        </w:rPr>
        <w:t>: пептидная группа образует в щелочной среде с ионами меди комплексное соединение фиолетового цвета с красным или синим оттенком в зависимости от числа пептидных связей.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</w:t>
      </w:r>
      <w:r>
        <w:rPr>
          <w:sz w:val="28"/>
        </w:rPr>
        <w:t>: к 5 каплям гидролизата приливают 10 капель 10% раствора едкого натра, затем 2 капли 1% раствора сульфата меди.</w:t>
      </w: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i w:val="1"/>
          <w:sz w:val="28"/>
          <w:u w:val="single"/>
        </w:rPr>
      </w:pPr>
    </w:p>
    <w:p>
      <w:pPr>
        <w:jc w:val="both"/>
        <w:rPr>
          <w:i w:val="1"/>
          <w:sz w:val="28"/>
          <w:u w:val="single"/>
        </w:rPr>
      </w:pP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ind w:firstLine="180" w:left="180"/>
        <w:jc w:val="both"/>
        <w:rPr>
          <w:sz w:val="28"/>
        </w:rPr>
      </w:pPr>
    </w:p>
    <w:p>
      <w:pPr>
        <w:ind w:firstLine="180" w:left="180"/>
        <w:jc w:val="center"/>
        <w:rPr>
          <w:b w:val="1"/>
          <w:sz w:val="28"/>
        </w:rPr>
      </w:pPr>
      <w:r>
        <w:rPr>
          <w:b w:val="1"/>
          <w:sz w:val="28"/>
        </w:rPr>
        <w:t>Серебряная проба на пуриновые основания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пуриновые основания  (аденин, гуанин) при взаимодействии с нитратом серебра образуют бурый осадок серебряных солей.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Ход работы: к 10 каплям гидролизата добавляют для нейтрализации кислоты 10 капель NН</w:t>
      </w:r>
      <w:r>
        <w:rPr>
          <w:sz w:val="28"/>
          <w:vertAlign w:val="subscript"/>
        </w:rPr>
        <w:t>4</w:t>
      </w:r>
      <w:r>
        <w:rPr>
          <w:sz w:val="28"/>
        </w:rPr>
        <w:t xml:space="preserve">ОН, затем 10 капель 2% аммиачного раствора нитрата серебра. При стоянии через 3-5 минут образуется светло-коричневый осадок серебряных солей пуриновых оснований. </w:t>
      </w: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ind w:firstLine="180" w:left="180"/>
        <w:jc w:val="both"/>
        <w:rPr>
          <w:sz w:val="28"/>
          <w:u w:val="single"/>
        </w:rPr>
      </w:pPr>
    </w:p>
    <w:p>
      <w:pPr>
        <w:ind w:firstLine="180" w:left="180"/>
        <w:jc w:val="both"/>
        <w:rPr>
          <w:sz w:val="28"/>
          <w:u w:val="single"/>
        </w:rPr>
      </w:pPr>
    </w:p>
    <w:p>
      <w:pPr>
        <w:ind w:firstLine="180" w:left="180"/>
        <w:jc w:val="both"/>
        <w:rPr>
          <w:i w:val="1"/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ind w:firstLine="180" w:left="180"/>
        <w:jc w:val="center"/>
        <w:rPr>
          <w:b w:val="1"/>
          <w:sz w:val="28"/>
        </w:rPr>
      </w:pPr>
    </w:p>
    <w:p>
      <w:pPr>
        <w:ind w:firstLine="180" w:left="180"/>
        <w:jc w:val="center"/>
        <w:rPr>
          <w:b w:val="1"/>
          <w:sz w:val="28"/>
        </w:rPr>
      </w:pPr>
      <w:r>
        <w:rPr>
          <w:b w:val="1"/>
          <w:sz w:val="28"/>
        </w:rPr>
        <w:t>Реакция Молиша на пентозу</w:t>
      </w:r>
    </w:p>
    <w:p>
      <w:pPr>
        <w:ind w:firstLine="709"/>
        <w:jc w:val="both"/>
        <w:rPr>
          <w:b w:val="1"/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при конденсации тимола с гидроксиметилфурфуролом, продуктом дегидратации пентоз серной кислотой, развивается красное окрашивание.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к 10 каплям гидролизата добавляют 2 капли 1% раствора тимола, перемешивают и осторожно по стенке добавляют 20 капель концентрированной серной кислоты.</w:t>
      </w: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ind w:firstLine="180" w:left="180"/>
        <w:jc w:val="center"/>
        <w:rPr>
          <w:b w:val="1"/>
          <w:sz w:val="28"/>
        </w:rPr>
      </w:pPr>
    </w:p>
    <w:p>
      <w:pPr>
        <w:ind w:firstLine="180" w:left="180"/>
        <w:jc w:val="center"/>
        <w:rPr>
          <w:b w:val="1"/>
          <w:sz w:val="28"/>
        </w:rPr>
      </w:pPr>
    </w:p>
    <w:p>
      <w:pPr>
        <w:ind w:firstLine="180" w:left="180"/>
        <w:jc w:val="center"/>
        <w:rPr>
          <w:b w:val="1"/>
          <w:sz w:val="28"/>
        </w:rPr>
      </w:pPr>
      <w:r>
        <w:rPr>
          <w:b w:val="1"/>
          <w:sz w:val="28"/>
        </w:rPr>
        <w:t>Молибденовая проба на фосфорную кислоту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при реакции фосфорной кислоты с раствором молибденовокислого аммония образуется окрашенное комплексное соединение фосфомолибдат аммония, который дает осадок лимонно-желтого цвета. 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к 10 каплям гидролизата добавляют 20 капель молибденового реактива, кипятят. Жидкость окрашивается в лимонно-желтый цвет. Пробирку охлаждают под струей холодной воды, наблюдают появление на дне пробирки осадка молибдата аммония. </w:t>
      </w:r>
    </w:p>
    <w:p>
      <w:pPr>
        <w:ind w:firstLine="180" w:left="180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ind w:firstLine="180" w:left="180"/>
        <w:jc w:val="both"/>
        <w:rPr>
          <w:sz w:val="28"/>
          <w:u w:val="single"/>
        </w:rPr>
      </w:pPr>
    </w:p>
    <w:p>
      <w:pPr>
        <w:ind w:firstLine="180" w:left="180"/>
        <w:jc w:val="both"/>
        <w:rPr>
          <w:i w:val="1"/>
          <w:sz w:val="28"/>
          <w:u w:val="single"/>
        </w:rPr>
      </w:pPr>
      <w:r>
        <w:rPr>
          <w:sz w:val="28"/>
          <w:u w:val="single"/>
        </w:rPr>
        <w:t>Вывод</w:t>
      </w:r>
      <w:r>
        <w:rPr>
          <w:i w:val="1"/>
          <w:sz w:val="28"/>
          <w:u w:val="single"/>
        </w:rPr>
        <w:t>:</w:t>
      </w:r>
    </w:p>
    <w:p>
      <w:pPr>
        <w:ind w:firstLine="180" w:left="180"/>
        <w:jc w:val="both"/>
        <w:rPr>
          <w:i w:val="1"/>
          <w:sz w:val="28"/>
        </w:rPr>
      </w:pPr>
    </w:p>
    <w:p>
      <w:pPr>
        <w:ind w:firstLine="180" w:left="180"/>
        <w:jc w:val="both"/>
        <w:rPr>
          <w:i w:val="1"/>
          <w:sz w:val="28"/>
        </w:rPr>
      </w:pPr>
    </w:p>
    <w:p>
      <w:pPr>
        <w:ind w:firstLine="180" w:left="180"/>
        <w:jc w:val="both"/>
        <w:rPr>
          <w:i w:val="1"/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значение.</w:t>
      </w:r>
      <w:r>
        <w:rPr>
          <w:b w:val="1"/>
          <w:sz w:val="28"/>
        </w:rPr>
        <w:t xml:space="preserve"> </w:t>
      </w:r>
      <w:r>
        <w:rPr>
          <w:sz w:val="28"/>
        </w:rPr>
        <w:t>Метод позволяет изучить качественный состав нуклеопротеинов, познакомиться со строением и свойствами структурных компонентов этих сложных белков, что необходимо для понимания структурной организации в клетке ДНК и РНК и объяснения молекулярных механизмов передачи генетической информации.</w:t>
      </w:r>
    </w:p>
    <w:p>
      <w:pPr>
        <w:ind w:firstLine="720"/>
        <w:jc w:val="center"/>
        <w:rPr>
          <w:b w:val="1"/>
          <w:sz w:val="28"/>
        </w:rPr>
      </w:pPr>
    </w:p>
    <w:p>
      <w:pPr>
        <w:ind w:firstLine="720"/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jc w:val="both"/>
        <w:rPr>
          <w:sz w:val="28"/>
        </w:rPr>
      </w:pPr>
      <w:r>
        <w:rPr>
          <w:sz w:val="28"/>
          <w:u w:val="single"/>
        </w:rPr>
        <w:t>1.Повторите</w:t>
      </w:r>
      <w:r>
        <w:rPr>
          <w:sz w:val="28"/>
        </w:rPr>
        <w:t xml:space="preserve">: </w:t>
      </w:r>
    </w:p>
    <w:p>
      <w:pPr>
        <w:jc w:val="both"/>
        <w:rPr>
          <w:sz w:val="28"/>
        </w:rPr>
      </w:pPr>
      <w:r>
        <w:rPr>
          <w:sz w:val="28"/>
        </w:rPr>
        <w:t xml:space="preserve"> - химический состав и строение нуклеиновых кислот: азотистые основания, пентозы, нуклеозиды, мононуклеотиды, полинуклеотиды.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2. Напишите и назовите:</w:t>
      </w:r>
    </w:p>
    <w:p>
      <w:pPr>
        <w:pStyle w:val="P3"/>
        <w:rPr>
          <w:sz w:val="28"/>
        </w:rPr>
      </w:pPr>
      <w:r>
        <w:rPr>
          <w:sz w:val="28"/>
        </w:rPr>
        <w:t xml:space="preserve">        -  нуклезид, состоящий из аденина и дезоксирибозы.</w:t>
      </w:r>
    </w:p>
    <w:p>
      <w:pPr>
        <w:jc w:val="both"/>
        <w:rPr>
          <w:sz w:val="28"/>
        </w:rPr>
      </w:pPr>
      <w:r>
        <w:rPr>
          <w:sz w:val="28"/>
        </w:rPr>
        <w:t xml:space="preserve">        -  нуклеотид, в состав которого входит урацил.</w:t>
      </w:r>
    </w:p>
    <w:p>
      <w:pPr>
        <w:widowControl w:val="0"/>
        <w:ind w:right="7"/>
        <w:jc w:val="both"/>
        <w:rPr>
          <w:sz w:val="28"/>
        </w:rPr>
      </w:pPr>
      <w:r>
        <w:rPr>
          <w:sz w:val="28"/>
        </w:rPr>
        <w:t xml:space="preserve">3.  Решите задачу:</w:t>
      </w:r>
    </w:p>
    <w:p>
      <w:pPr>
        <w:ind w:firstLine="709"/>
        <w:jc w:val="both"/>
      </w:pPr>
      <w:r>
        <w:rPr>
          <w:sz w:val="28"/>
        </w:rPr>
        <w:t>Если повреждения структуры ДНК не репарируются, то они могут быть летальными для клетки. Будут ли приводить к столь тяжелым последствиям повреждения молекулы РНК?</w:t>
      </w:r>
    </w:p>
    <w:p>
      <w:pPr>
        <w:jc w:val="both"/>
        <w:rPr>
          <w:sz w:val="28"/>
        </w:rPr>
      </w:pPr>
      <w:r>
        <w:rPr>
          <w:sz w:val="28"/>
        </w:rPr>
        <w:t>4. Заполните таблицу: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43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Структурные участки ДНК</w:t>
            </w:r>
          </w:p>
        </w:tc>
        <w:tc>
          <w:tcPr>
            <w:tcW w:w="50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Функция</w:t>
            </w:r>
          </w:p>
        </w:tc>
      </w:tr>
      <w:tr>
        <w:tc>
          <w:tcPr>
            <w:tcW w:w="43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Структурные гены</w:t>
            </w:r>
          </w:p>
        </w:tc>
        <w:tc>
          <w:tcPr>
            <w:tcW w:w="50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43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Оператор</w:t>
            </w:r>
          </w:p>
        </w:tc>
        <w:tc>
          <w:tcPr>
            <w:tcW w:w="50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43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Промотор</w:t>
            </w:r>
          </w:p>
        </w:tc>
        <w:tc>
          <w:tcPr>
            <w:tcW w:w="50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c>
          <w:tcPr>
            <w:tcW w:w="439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Ген-регулятор</w:t>
            </w:r>
          </w:p>
        </w:tc>
        <w:tc>
          <w:tcPr>
            <w:tcW w:w="506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3"/>
        <w:numPr>
          <w:ilvl w:val="0"/>
          <w:numId w:val="2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ED01FF"/>
    <w:multiLevelType w:val="hybridMultilevel"/>
    <w:lvl w:ilvl="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/>
    </w:lvl>
    <w:lvl w:ilvl="1" w:tplc="3B2A7DCE">
      <w:start w:val="1"/>
      <w:numFmt w:val="decimal"/>
      <w:suff w:val="tab"/>
      <w:lvlText w:val="%1."/>
      <w:lvlJc w:val="left"/>
      <w:pPr/>
      <w:rPr/>
    </w:lvl>
    <w:lvl w:ilvl="2" w:tplc="2698490E">
      <w:start w:val="1"/>
      <w:numFmt w:val="decimal"/>
      <w:suff w:val="tab"/>
      <w:lvlText w:val="%1."/>
      <w:lvlJc w:val="left"/>
      <w:pPr/>
      <w:rPr/>
    </w:lvl>
    <w:lvl w:ilvl="3" w:tplc="6928D9F9">
      <w:start w:val="1"/>
      <w:numFmt w:val="decimal"/>
      <w:suff w:val="tab"/>
      <w:lvlText w:val="%1."/>
      <w:lvlJc w:val="left"/>
      <w:pPr/>
      <w:rPr/>
    </w:lvl>
    <w:lvl w:ilvl="4" w:tplc="507DB35D">
      <w:start w:val="1"/>
      <w:numFmt w:val="decimal"/>
      <w:suff w:val="tab"/>
      <w:lvlText w:val="%1."/>
      <w:lvlJc w:val="left"/>
      <w:pPr/>
      <w:rPr/>
    </w:lvl>
    <w:lvl w:ilvl="5" w:tplc="72B7FB15">
      <w:start w:val="1"/>
      <w:numFmt w:val="decimal"/>
      <w:suff w:val="tab"/>
      <w:lvlText w:val="%1."/>
      <w:lvlJc w:val="left"/>
      <w:pPr/>
      <w:rPr/>
    </w:lvl>
    <w:lvl w:ilvl="6" w:tplc="4EDD954B">
      <w:start w:val="1"/>
      <w:numFmt w:val="decimal"/>
      <w:suff w:val="tab"/>
      <w:lvlText w:val="%1."/>
      <w:lvlJc w:val="left"/>
      <w:pPr/>
      <w:rPr/>
    </w:lvl>
    <w:lvl w:ilvl="7" w:tplc="426C910D">
      <w:start w:val="1"/>
      <w:numFmt w:val="decimal"/>
      <w:suff w:val="tab"/>
      <w:lvlText w:val="%1."/>
      <w:lvlJc w:val="left"/>
      <w:pPr/>
      <w:rPr/>
    </w:lvl>
    <w:lvl w:ilvl="8" w:tplc="5F3E5D1D">
      <w:start w:val="1"/>
      <w:numFmt w:val="decimal"/>
      <w:suff w:val="tab"/>
      <w:lvlText w:val="%1."/>
      <w:lvlJc w:val="left"/>
      <w:pPr/>
      <w:rPr/>
    </w:lvl>
  </w:abstractNum>
  <w:abstractNum w:abstractNumId="1">
    <w:nsid w:val="2F730F1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F2D408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heading 6"/>
    <w:basedOn w:val="P0"/>
    <w:next w:val="P0"/>
    <w:link w:val="C4"/>
    <w:qFormat/>
    <w:pPr>
      <w:keepNext w:val="1"/>
      <w:ind w:hanging="1985" w:left="1985"/>
      <w:jc w:val="both"/>
      <w:outlineLvl w:val="5"/>
    </w:pPr>
    <w:rPr>
      <w:sz w:val="24"/>
    </w:rPr>
  </w:style>
  <w:style w:type="paragraph" w:styleId="P3">
    <w:name w:val="Body Text"/>
    <w:basedOn w:val="P0"/>
    <w:link w:val="C5"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Заголовок 6 Знак"/>
    <w:basedOn w:val="C0"/>
    <w:link w:val="P2"/>
    <w:rPr>
      <w:sz w:val="24"/>
    </w:rPr>
  </w:style>
  <w:style w:type="character" w:styleId="C5">
    <w:name w:val="Основной текст Знак"/>
    <w:basedOn w:val="C0"/>
    <w:link w:val="P3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