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64E80" w:rsidRPr="00CF7355" w:rsidRDefault="00264E80" w:rsidP="00264E80">
      <w:pPr>
        <w:jc w:val="center"/>
        <w:rPr>
          <w:sz w:val="28"/>
        </w:rPr>
      </w:pPr>
      <w:r>
        <w:rPr>
          <w:sz w:val="28"/>
        </w:rPr>
        <w:t>Детские инфекции</w:t>
      </w:r>
    </w:p>
    <w:p w:rsidR="00264E80" w:rsidRPr="00CF7355" w:rsidRDefault="00264E80" w:rsidP="00264E80">
      <w:pPr>
        <w:jc w:val="center"/>
        <w:rPr>
          <w:sz w:val="28"/>
        </w:rPr>
      </w:pPr>
    </w:p>
    <w:p w:rsidR="00264E80" w:rsidRPr="00CF7355" w:rsidRDefault="00264E80" w:rsidP="00264E80">
      <w:pPr>
        <w:jc w:val="center"/>
        <w:rPr>
          <w:sz w:val="28"/>
        </w:rPr>
      </w:pPr>
    </w:p>
    <w:p w:rsidR="00264E80" w:rsidRPr="00CF7355" w:rsidRDefault="00264E80" w:rsidP="00264E80">
      <w:pPr>
        <w:jc w:val="center"/>
        <w:rPr>
          <w:sz w:val="28"/>
        </w:rPr>
      </w:pPr>
      <w:r>
        <w:rPr>
          <w:sz w:val="28"/>
        </w:rPr>
        <w:t>по специальности медико-профилактическое дело</w:t>
      </w:r>
    </w:p>
    <w:p w:rsidR="00264E80" w:rsidRPr="00CF7355" w:rsidRDefault="00264E80" w:rsidP="00264E80">
      <w:pPr>
        <w:jc w:val="center"/>
        <w:rPr>
          <w:sz w:val="28"/>
        </w:rPr>
      </w:pPr>
    </w:p>
    <w:p w:rsidR="00264E80" w:rsidRPr="00CF7355" w:rsidRDefault="00264E80" w:rsidP="00264E80">
      <w:pPr>
        <w:jc w:val="center"/>
        <w:rPr>
          <w:sz w:val="28"/>
        </w:rPr>
      </w:pPr>
    </w:p>
    <w:p w:rsidR="00264E80" w:rsidRPr="00CF7355" w:rsidRDefault="00264E80" w:rsidP="00264E80">
      <w:pPr>
        <w:jc w:val="center"/>
        <w:rPr>
          <w:sz w:val="28"/>
        </w:rPr>
      </w:pPr>
      <w:r w:rsidRPr="00C61D3B">
        <w:rPr>
          <w:sz w:val="28"/>
        </w:rPr>
        <w:t>32.05.01 Медико-профилактическое дело</w:t>
      </w:r>
    </w:p>
    <w:p w:rsidR="00264E80" w:rsidRPr="00CF7355" w:rsidRDefault="00264E80" w:rsidP="00264E80">
      <w:pPr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64E80" w:rsidRPr="00CF7355" w:rsidRDefault="00264E80" w:rsidP="00264E80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7355">
        <w:rPr>
          <w:color w:val="000000"/>
          <w:sz w:val="24"/>
          <w:szCs w:val="24"/>
        </w:rPr>
        <w:t>а</w:t>
      </w:r>
      <w:r w:rsidRPr="00CF7355">
        <w:rPr>
          <w:color w:val="000000"/>
          <w:sz w:val="24"/>
          <w:szCs w:val="24"/>
        </w:rPr>
        <w:t xml:space="preserve">зования </w:t>
      </w:r>
      <w:r w:rsidRPr="00C61D3B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 w:rsidRPr="00C61D3B">
        <w:rPr>
          <w:color w:val="000000"/>
          <w:sz w:val="24"/>
          <w:szCs w:val="24"/>
        </w:rPr>
        <w:t>32.05.01 Медико-профилактическое дело</w:t>
      </w:r>
      <w:r w:rsidRPr="00CF7355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4B2C94" w:rsidRPr="004B2C94" w:rsidRDefault="00145D42" w:rsidP="00F5136B">
      <w:pPr>
        <w:ind w:firstLine="709"/>
        <w:jc w:val="center"/>
        <w:rPr>
          <w:sz w:val="28"/>
        </w:rPr>
      </w:pPr>
      <w:r w:rsidRPr="00145D42">
        <w:rPr>
          <w:color w:val="000000"/>
          <w:sz w:val="24"/>
          <w:szCs w:val="24"/>
        </w:rPr>
        <w:t>протокол № 11  от «22» июня 2018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264E80" w:rsidRPr="004B2C94" w:rsidRDefault="00264E80" w:rsidP="00F5136B">
      <w:pPr>
        <w:ind w:firstLine="709"/>
        <w:jc w:val="center"/>
        <w:rPr>
          <w:sz w:val="28"/>
        </w:rPr>
      </w:pPr>
    </w:p>
    <w:p w:rsidR="00145D42" w:rsidRDefault="00145D42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951975">
        <w:rPr>
          <w:sz w:val="28"/>
        </w:rPr>
        <w:t>В результате выполнения самостоятельной работы по дисци</w:t>
      </w:r>
      <w:r w:rsidR="00F55788" w:rsidRPr="00951975">
        <w:rPr>
          <w:sz w:val="28"/>
        </w:rPr>
        <w:t>плине</w:t>
      </w:r>
      <w:r w:rsidRPr="00951975">
        <w:rPr>
          <w:sz w:val="28"/>
        </w:rPr>
        <w:t xml:space="preserve"> обуча</w:t>
      </w:r>
      <w:r w:rsidRPr="00951975">
        <w:rPr>
          <w:sz w:val="28"/>
        </w:rPr>
        <w:t>ю</w:t>
      </w:r>
      <w:r w:rsidRPr="00951975">
        <w:rPr>
          <w:sz w:val="28"/>
        </w:rPr>
        <w:t>щийся должен</w:t>
      </w:r>
      <w:r w:rsidR="00951975">
        <w:rPr>
          <w:sz w:val="28"/>
        </w:rPr>
        <w:t xml:space="preserve"> з</w:t>
      </w:r>
      <w:r w:rsidRPr="00951975">
        <w:rPr>
          <w:sz w:val="28"/>
        </w:rPr>
        <w:t>акрепить</w:t>
      </w:r>
      <w:r w:rsidR="00951975">
        <w:rPr>
          <w:sz w:val="28"/>
        </w:rPr>
        <w:t xml:space="preserve"> и систематизировать</w:t>
      </w:r>
      <w:r w:rsidRPr="00951975">
        <w:rPr>
          <w:sz w:val="28"/>
        </w:rPr>
        <w:t xml:space="preserve"> знания</w:t>
      </w:r>
      <w:r w:rsidR="00951975">
        <w:rPr>
          <w:sz w:val="28"/>
        </w:rPr>
        <w:t xml:space="preserve"> по вопросам инфекционной патологии у детей,</w:t>
      </w:r>
      <w:r w:rsidRPr="00951975">
        <w:rPr>
          <w:sz w:val="28"/>
        </w:rPr>
        <w:t xml:space="preserve"> сформировать умения</w:t>
      </w:r>
      <w:r w:rsidR="00951975">
        <w:rPr>
          <w:sz w:val="28"/>
        </w:rPr>
        <w:t xml:space="preserve"> к самостоятельному поиску, обобщению, наглядному представлению информации</w:t>
      </w:r>
      <w:r w:rsidRPr="00951975">
        <w:rPr>
          <w:sz w:val="28"/>
        </w:rPr>
        <w:t>.</w:t>
      </w:r>
      <w:r>
        <w:rPr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038"/>
        <w:gridCol w:w="2367"/>
        <w:gridCol w:w="2251"/>
        <w:gridCol w:w="2082"/>
      </w:tblGrid>
      <w:tr w:rsidR="006F14A4" w:rsidRPr="00033367" w:rsidTr="00AE2A6A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3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AE2A6A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AE2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AE2A6A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AE2A6A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E2A6A">
        <w:tc>
          <w:tcPr>
            <w:tcW w:w="10352" w:type="dxa"/>
            <w:gridSpan w:val="5"/>
            <w:shd w:val="clear" w:color="auto" w:fill="auto"/>
          </w:tcPr>
          <w:p w:rsidR="009978D9" w:rsidRPr="009978D9" w:rsidRDefault="009978D9" w:rsidP="00AE2A6A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="00951975">
              <w:rPr>
                <w:i/>
                <w:sz w:val="28"/>
              </w:rPr>
              <w:t xml:space="preserve"> рамках всей дисциплин</w:t>
            </w:r>
            <w:r w:rsidR="00AE2A6A">
              <w:rPr>
                <w:i/>
                <w:sz w:val="28"/>
              </w:rPr>
              <w:t>ы</w:t>
            </w:r>
          </w:p>
        </w:tc>
      </w:tr>
      <w:tr w:rsidR="009978D9" w:rsidRPr="00033367" w:rsidTr="00AE2A6A">
        <w:tc>
          <w:tcPr>
            <w:tcW w:w="614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367" w:type="dxa"/>
            <w:shd w:val="clear" w:color="auto" w:fill="auto"/>
          </w:tcPr>
          <w:p w:rsidR="009978D9" w:rsidRPr="00033367" w:rsidRDefault="00951975" w:rsidP="009519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рата</w:t>
            </w:r>
          </w:p>
        </w:tc>
        <w:tc>
          <w:tcPr>
            <w:tcW w:w="2251" w:type="dxa"/>
            <w:shd w:val="clear" w:color="auto" w:fill="auto"/>
          </w:tcPr>
          <w:p w:rsidR="009978D9" w:rsidRPr="00033367" w:rsidRDefault="00AE2A6A" w:rsidP="00AE2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доклад</w:t>
            </w:r>
          </w:p>
        </w:tc>
        <w:tc>
          <w:tcPr>
            <w:tcW w:w="2082" w:type="dxa"/>
            <w:shd w:val="clear" w:color="auto" w:fill="auto"/>
          </w:tcPr>
          <w:p w:rsidR="009978D9" w:rsidRPr="00033367" w:rsidRDefault="00AE2A6A" w:rsidP="00AE2A6A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978D9" w:rsidRPr="00033367" w:rsidTr="00AE2A6A">
        <w:tc>
          <w:tcPr>
            <w:tcW w:w="10352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 w:rsidR="00AE2A6A">
              <w:rPr>
                <w:i/>
                <w:sz w:val="28"/>
              </w:rPr>
              <w:t xml:space="preserve"> занятий</w:t>
            </w:r>
          </w:p>
          <w:p w:rsidR="009978D9" w:rsidRPr="009978D9" w:rsidRDefault="00693E11" w:rsidP="00AE2A6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AE2A6A">
              <w:rPr>
                <w:sz w:val="28"/>
              </w:rPr>
              <w:t>Кишечные инфекции</w:t>
            </w:r>
            <w:r w:rsidRPr="00033367">
              <w:rPr>
                <w:sz w:val="28"/>
              </w:rPr>
              <w:t>»</w:t>
            </w:r>
          </w:p>
        </w:tc>
      </w:tr>
      <w:tr w:rsidR="006F14A4" w:rsidRPr="00033367" w:rsidTr="00AE2A6A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6F14A4" w:rsidRPr="00033367" w:rsidRDefault="006F14A4" w:rsidP="00AE2A6A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AE2A6A">
              <w:rPr>
                <w:sz w:val="28"/>
              </w:rPr>
              <w:t xml:space="preserve">Острые кишечные </w:t>
            </w:r>
            <w:r w:rsidR="00AE2A6A">
              <w:rPr>
                <w:sz w:val="28"/>
              </w:rPr>
              <w:lastRenderedPageBreak/>
              <w:t>инфекции у детей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Default="00AE2A6A" w:rsidP="00AE2A6A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lastRenderedPageBreak/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lastRenderedPageBreak/>
              <w:t xml:space="preserve">онных задач </w:t>
            </w:r>
          </w:p>
          <w:p w:rsidR="006F14A4" w:rsidRPr="00033367" w:rsidRDefault="00AE2A6A" w:rsidP="00AE2A6A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6F14A4" w:rsidRDefault="00AE2A6A" w:rsidP="00AE2A6A">
            <w:pPr>
              <w:ind w:right="-293" w:firstLine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ответ,</w:t>
            </w:r>
          </w:p>
          <w:p w:rsidR="00AE2A6A" w:rsidRDefault="00AE2A6A" w:rsidP="00AE2A6A">
            <w:pPr>
              <w:ind w:right="-293" w:firstLine="77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ответ</w:t>
            </w:r>
          </w:p>
          <w:p w:rsidR="00AE2A6A" w:rsidRPr="00033367" w:rsidRDefault="00AE2A6A" w:rsidP="00AE2A6A">
            <w:pPr>
              <w:ind w:right="-293" w:firstLine="77"/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Pr="00033367" w:rsidRDefault="00AE2A6A" w:rsidP="00AE2A6A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>аудиторная</w:t>
            </w:r>
          </w:p>
        </w:tc>
      </w:tr>
      <w:tr w:rsidR="00AE2A6A" w:rsidRPr="009978D9" w:rsidTr="0026478E">
        <w:tc>
          <w:tcPr>
            <w:tcW w:w="10352" w:type="dxa"/>
            <w:gridSpan w:val="5"/>
            <w:shd w:val="clear" w:color="auto" w:fill="auto"/>
          </w:tcPr>
          <w:p w:rsidR="00AE2A6A" w:rsidRDefault="00AE2A6A" w:rsidP="0026478E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</w:t>
            </w:r>
            <w:r>
              <w:rPr>
                <w:i/>
                <w:sz w:val="28"/>
              </w:rPr>
              <w:t xml:space="preserve"> занятий</w:t>
            </w:r>
          </w:p>
          <w:p w:rsidR="00AE2A6A" w:rsidRPr="009978D9" w:rsidRDefault="00AE2A6A" w:rsidP="00AE2A6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Врожденные инфекции у детей</w:t>
            </w:r>
            <w:r w:rsidRPr="00033367">
              <w:rPr>
                <w:sz w:val="28"/>
              </w:rPr>
              <w:t>»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26478E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E2A6A">
              <w:rPr>
                <w:sz w:val="28"/>
              </w:rPr>
              <w:t>Врожденные геп</w:t>
            </w:r>
            <w:r w:rsidRPr="00AE2A6A">
              <w:rPr>
                <w:sz w:val="28"/>
              </w:rPr>
              <w:t>а</w:t>
            </w:r>
            <w:r w:rsidRPr="00AE2A6A">
              <w:rPr>
                <w:sz w:val="28"/>
              </w:rPr>
              <w:t>титы у детей. Врожде</w:t>
            </w:r>
            <w:r w:rsidRPr="00AE2A6A">
              <w:rPr>
                <w:sz w:val="28"/>
              </w:rPr>
              <w:t>н</w:t>
            </w:r>
            <w:r w:rsidRPr="00AE2A6A">
              <w:rPr>
                <w:sz w:val="28"/>
              </w:rPr>
              <w:t>ные герпетические и</w:t>
            </w:r>
            <w:r w:rsidRPr="00AE2A6A">
              <w:rPr>
                <w:sz w:val="28"/>
              </w:rPr>
              <w:t>н</w:t>
            </w:r>
            <w:r w:rsidRPr="00AE2A6A">
              <w:rPr>
                <w:sz w:val="28"/>
              </w:rPr>
              <w:t>фекции (</w:t>
            </w:r>
            <w:proofErr w:type="spellStart"/>
            <w:r w:rsidRPr="00AE2A6A">
              <w:rPr>
                <w:sz w:val="28"/>
              </w:rPr>
              <w:t>цитомегалов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русная</w:t>
            </w:r>
            <w:proofErr w:type="spellEnd"/>
            <w:r w:rsidRPr="00AE2A6A">
              <w:rPr>
                <w:sz w:val="28"/>
              </w:rPr>
              <w:t xml:space="preserve">, Эпштейн </w:t>
            </w:r>
            <w:proofErr w:type="spellStart"/>
            <w:r w:rsidRPr="00AE2A6A">
              <w:rPr>
                <w:sz w:val="28"/>
              </w:rPr>
              <w:t>Барр</w:t>
            </w:r>
            <w:proofErr w:type="spellEnd"/>
            <w:r w:rsidRPr="00AE2A6A">
              <w:rPr>
                <w:sz w:val="28"/>
              </w:rPr>
              <w:t xml:space="preserve">, </w:t>
            </w:r>
            <w:proofErr w:type="gramStart"/>
            <w:r w:rsidRPr="00AE2A6A">
              <w:rPr>
                <w:sz w:val="28"/>
              </w:rPr>
              <w:t>герпес-вирусные</w:t>
            </w:r>
            <w:proofErr w:type="gramEnd"/>
            <w:r w:rsidRPr="00AE2A6A">
              <w:rPr>
                <w:sz w:val="28"/>
              </w:rPr>
              <w:t xml:space="preserve"> инфе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ции). Врожденные бакт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риальные инфекции (с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филис, </w:t>
            </w:r>
            <w:proofErr w:type="spellStart"/>
            <w:r w:rsidRPr="00AE2A6A">
              <w:rPr>
                <w:sz w:val="28"/>
              </w:rPr>
              <w:t>листериоз</w:t>
            </w:r>
            <w:proofErr w:type="spellEnd"/>
            <w:r w:rsidRPr="00AE2A6A">
              <w:rPr>
                <w:sz w:val="28"/>
              </w:rPr>
              <w:t>, стаф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лококк, стрептококк, и др.)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онных задач</w:t>
            </w:r>
            <w:r>
              <w:rPr>
                <w:sz w:val="28"/>
              </w:rPr>
              <w:t>,</w:t>
            </w:r>
          </w:p>
          <w:p w:rsidR="00AE2A6A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 w:rsidRPr="00AE2A6A">
              <w:rPr>
                <w:sz w:val="28"/>
              </w:rPr>
              <w:t xml:space="preserve"> </w:t>
            </w:r>
          </w:p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составление таблиц для систематизации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AE2A6A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AE2A6A" w:rsidRPr="009978D9" w:rsidTr="0026478E">
        <w:tc>
          <w:tcPr>
            <w:tcW w:w="10352" w:type="dxa"/>
            <w:gridSpan w:val="5"/>
            <w:shd w:val="clear" w:color="auto" w:fill="auto"/>
          </w:tcPr>
          <w:p w:rsidR="00AE2A6A" w:rsidRDefault="00AE2A6A" w:rsidP="0026478E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</w:t>
            </w:r>
            <w:r>
              <w:rPr>
                <w:i/>
                <w:sz w:val="28"/>
              </w:rPr>
              <w:t xml:space="preserve"> занятий</w:t>
            </w:r>
          </w:p>
          <w:p w:rsidR="00AE2A6A" w:rsidRPr="009978D9" w:rsidRDefault="00AE2A6A" w:rsidP="00AE2A6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Воздушно-капельные инфекции у детей</w:t>
            </w:r>
            <w:r w:rsidRPr="00033367">
              <w:rPr>
                <w:sz w:val="28"/>
              </w:rPr>
              <w:t>»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AE2A6A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E2A6A">
              <w:rPr>
                <w:sz w:val="28"/>
              </w:rPr>
              <w:t>Дифтерия у детей. Инфекционный монону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леоз у детей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Pr="00AE2A6A" w:rsidRDefault="00AE2A6A" w:rsidP="00AE2A6A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AE2A6A" w:rsidRPr="00033367" w:rsidRDefault="00AE2A6A" w:rsidP="00AE2A6A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</w:t>
            </w:r>
            <w:r>
              <w:rPr>
                <w:sz w:val="28"/>
              </w:rPr>
              <w:t>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устный ответ, 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AE2A6A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E2A6A">
              <w:rPr>
                <w:sz w:val="28"/>
              </w:rPr>
              <w:t>Коклюш. Парак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 xml:space="preserve">клюш. Микоплазмоз. </w:t>
            </w:r>
            <w:r>
              <w:rPr>
                <w:sz w:val="28"/>
              </w:rPr>
              <w:lastRenderedPageBreak/>
              <w:t>Хламидиоз у детей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Pr="00AE2A6A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lastRenderedPageBreak/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lastRenderedPageBreak/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</w:t>
            </w:r>
            <w:r>
              <w:rPr>
                <w:sz w:val="28"/>
              </w:rPr>
              <w:t>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ответ, 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AE2A6A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E2A6A">
              <w:rPr>
                <w:sz w:val="28"/>
              </w:rPr>
              <w:t xml:space="preserve">Корь, краснуха, скарлатина, </w:t>
            </w:r>
            <w:proofErr w:type="spellStart"/>
            <w:r w:rsidRPr="00AE2A6A">
              <w:rPr>
                <w:sz w:val="28"/>
              </w:rPr>
              <w:t>менингоко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цемия</w:t>
            </w:r>
            <w:proofErr w:type="spellEnd"/>
            <w:r w:rsidRPr="00AE2A6A">
              <w:rPr>
                <w:sz w:val="28"/>
              </w:rPr>
              <w:t xml:space="preserve"> у детей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Pr="00AE2A6A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</w:t>
            </w:r>
            <w:r>
              <w:rPr>
                <w:sz w:val="28"/>
              </w:rPr>
              <w:t>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устный ответ, 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AE2A6A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E2A6A">
              <w:rPr>
                <w:sz w:val="28"/>
              </w:rPr>
              <w:t>Энтеровирусная инфекция у детей. П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 xml:space="preserve">лиомиелит и </w:t>
            </w:r>
            <w:proofErr w:type="spellStart"/>
            <w:r w:rsidRPr="00AE2A6A">
              <w:rPr>
                <w:sz w:val="28"/>
              </w:rPr>
              <w:t>полиоми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литоподобные</w:t>
            </w:r>
            <w:proofErr w:type="spellEnd"/>
            <w:r w:rsidRPr="00AE2A6A">
              <w:rPr>
                <w:sz w:val="28"/>
              </w:rPr>
              <w:t xml:space="preserve"> заболев</w:t>
            </w:r>
            <w:r w:rsidRPr="00AE2A6A">
              <w:rPr>
                <w:sz w:val="28"/>
              </w:rPr>
              <w:t>а</w:t>
            </w:r>
            <w:r>
              <w:rPr>
                <w:sz w:val="28"/>
              </w:rPr>
              <w:t>ния у детей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Pr="00AE2A6A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</w:t>
            </w:r>
            <w:r>
              <w:rPr>
                <w:sz w:val="28"/>
              </w:rPr>
              <w:t>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устный ответ, 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AE2A6A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ОРВИ. Синдром крупа у детей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Pr="00AE2A6A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 xml:space="preserve">онных задач </w:t>
            </w:r>
          </w:p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работа с конспе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lastRenderedPageBreak/>
              <w:t>том лекции; работа над учебным мат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риалом; чтение те</w:t>
            </w:r>
            <w:r w:rsidRPr="00AE2A6A">
              <w:rPr>
                <w:sz w:val="28"/>
              </w:rPr>
              <w:t>к</w:t>
            </w:r>
            <w:r w:rsidRPr="00AE2A6A">
              <w:rPr>
                <w:sz w:val="28"/>
              </w:rPr>
              <w:t>ста (учебника, д</w:t>
            </w:r>
            <w:r w:rsidRPr="00AE2A6A">
              <w:rPr>
                <w:sz w:val="28"/>
              </w:rPr>
              <w:t>о</w:t>
            </w:r>
            <w:r w:rsidRPr="00AE2A6A">
              <w:rPr>
                <w:sz w:val="28"/>
              </w:rPr>
              <w:t>полнительной лит</w:t>
            </w:r>
            <w:r w:rsidRPr="00AE2A6A">
              <w:rPr>
                <w:sz w:val="28"/>
              </w:rPr>
              <w:t>е</w:t>
            </w:r>
            <w:r w:rsidRPr="00AE2A6A">
              <w:rPr>
                <w:sz w:val="28"/>
              </w:rPr>
              <w:t>ратуры, ресурсов Интернет);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плана и тез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сов ответа; соста</w:t>
            </w:r>
            <w:r w:rsidRPr="00AE2A6A">
              <w:rPr>
                <w:sz w:val="28"/>
              </w:rPr>
              <w:t>в</w:t>
            </w:r>
            <w:r w:rsidRPr="00AE2A6A">
              <w:rPr>
                <w:sz w:val="28"/>
              </w:rPr>
              <w:t>ление таблиц для си</w:t>
            </w:r>
            <w:r>
              <w:rPr>
                <w:sz w:val="28"/>
              </w:rPr>
              <w:t>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ответ, 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аудиторная, вн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аудиторная</w:t>
            </w:r>
          </w:p>
        </w:tc>
      </w:tr>
      <w:tr w:rsidR="00AE2A6A" w:rsidRPr="009978D9" w:rsidTr="0026478E">
        <w:tc>
          <w:tcPr>
            <w:tcW w:w="10352" w:type="dxa"/>
            <w:gridSpan w:val="5"/>
            <w:shd w:val="clear" w:color="auto" w:fill="auto"/>
          </w:tcPr>
          <w:p w:rsidR="00AE2A6A" w:rsidRDefault="00AE2A6A" w:rsidP="0026478E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</w:t>
            </w:r>
            <w:r>
              <w:rPr>
                <w:i/>
                <w:sz w:val="28"/>
              </w:rPr>
              <w:t xml:space="preserve"> занятий</w:t>
            </w:r>
          </w:p>
          <w:p w:rsidR="00AE2A6A" w:rsidRPr="009978D9" w:rsidRDefault="00AE2A6A" w:rsidP="00AE2A6A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>
              <w:rPr>
                <w:sz w:val="28"/>
              </w:rPr>
              <w:t>Клинические аспекты вакцинопрофилактики у детей</w:t>
            </w:r>
            <w:r w:rsidRPr="00033367">
              <w:rPr>
                <w:sz w:val="28"/>
              </w:rPr>
              <w:t>»</w:t>
            </w:r>
          </w:p>
        </w:tc>
      </w:tr>
      <w:tr w:rsidR="00AE2A6A" w:rsidRPr="00033367" w:rsidTr="0026478E">
        <w:tc>
          <w:tcPr>
            <w:tcW w:w="614" w:type="dxa"/>
            <w:shd w:val="clear" w:color="auto" w:fill="auto"/>
          </w:tcPr>
          <w:p w:rsidR="00AE2A6A" w:rsidRPr="00033367" w:rsidRDefault="00AE2A6A" w:rsidP="0026478E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38" w:type="dxa"/>
            <w:shd w:val="clear" w:color="auto" w:fill="auto"/>
          </w:tcPr>
          <w:p w:rsidR="00AE2A6A" w:rsidRPr="00033367" w:rsidRDefault="00AE2A6A" w:rsidP="00AE2A6A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AE2A6A">
              <w:rPr>
                <w:sz w:val="28"/>
              </w:rPr>
              <w:t>Поства</w:t>
            </w:r>
            <w:r>
              <w:rPr>
                <w:sz w:val="28"/>
              </w:rPr>
              <w:t>кцинальные реакции и осложнения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367" w:type="dxa"/>
            <w:shd w:val="clear" w:color="auto" w:fill="auto"/>
          </w:tcPr>
          <w:p w:rsidR="00AE2A6A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решение ситуац</w:t>
            </w:r>
            <w:r w:rsidRPr="00AE2A6A">
              <w:rPr>
                <w:sz w:val="28"/>
              </w:rPr>
              <w:t>и</w:t>
            </w:r>
            <w:r w:rsidRPr="00AE2A6A">
              <w:rPr>
                <w:sz w:val="28"/>
              </w:rPr>
              <w:t>онных задач</w:t>
            </w:r>
            <w:r>
              <w:rPr>
                <w:sz w:val="28"/>
              </w:rPr>
              <w:t>,</w:t>
            </w:r>
          </w:p>
          <w:p w:rsidR="00AE2A6A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  <w:r w:rsidRPr="00AE2A6A">
              <w:rPr>
                <w:sz w:val="28"/>
              </w:rPr>
              <w:t xml:space="preserve"> </w:t>
            </w:r>
          </w:p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 w:rsidRPr="00AE2A6A">
              <w:rPr>
                <w:sz w:val="28"/>
              </w:rPr>
              <w:t>составление таблиц для систематизации учебного материала</w:t>
            </w:r>
          </w:p>
        </w:tc>
        <w:tc>
          <w:tcPr>
            <w:tcW w:w="2251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ответ</w:t>
            </w:r>
          </w:p>
        </w:tc>
        <w:tc>
          <w:tcPr>
            <w:tcW w:w="2082" w:type="dxa"/>
            <w:shd w:val="clear" w:color="auto" w:fill="auto"/>
          </w:tcPr>
          <w:p w:rsidR="00AE2A6A" w:rsidRPr="00033367" w:rsidRDefault="00AE2A6A" w:rsidP="0026478E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022F53" w:rsidRDefault="00022F53" w:rsidP="00022F5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022F53" w:rsidRDefault="00022F53" w:rsidP="00022F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022F53" w:rsidRPr="009C4A0D" w:rsidRDefault="00022F53" w:rsidP="00022F53">
      <w:pPr>
        <w:ind w:firstLine="709"/>
        <w:jc w:val="both"/>
        <w:rPr>
          <w:color w:val="000000"/>
          <w:sz w:val="10"/>
          <w:szCs w:val="28"/>
        </w:rPr>
      </w:pP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022F53" w:rsidRPr="006E062D" w:rsidRDefault="00022F53" w:rsidP="00022F5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022F53" w:rsidRPr="006E062D" w:rsidRDefault="00022F53" w:rsidP="00022F53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[ ] – выписки сделаны;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4EBB253" wp14:editId="0124E503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7242CF" wp14:editId="5D79EB2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022F53" w:rsidRPr="006E062D" w:rsidRDefault="00022F53" w:rsidP="00022F53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022F53" w:rsidRDefault="00022F53" w:rsidP="00022F53">
      <w:pPr>
        <w:ind w:firstLine="709"/>
        <w:jc w:val="both"/>
        <w:rPr>
          <w:sz w:val="28"/>
        </w:rPr>
      </w:pPr>
    </w:p>
    <w:p w:rsidR="00022F53" w:rsidRDefault="00022F53" w:rsidP="00022F5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022F53" w:rsidRPr="00460AEA" w:rsidRDefault="00022F53" w:rsidP="00022F53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022F53" w:rsidRPr="00C35B2E" w:rsidRDefault="00022F53" w:rsidP="00022F53">
      <w:pPr>
        <w:ind w:firstLine="709"/>
        <w:jc w:val="both"/>
        <w:rPr>
          <w:sz w:val="8"/>
          <w:szCs w:val="28"/>
        </w:rPr>
      </w:pPr>
    </w:p>
    <w:p w:rsidR="00022F53" w:rsidRPr="00821EB4" w:rsidRDefault="00022F53" w:rsidP="00022F53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5. Произнесение речи с соответствующей интонацией, мимикой, жестами.</w:t>
      </w:r>
    </w:p>
    <w:p w:rsidR="00022F53" w:rsidRDefault="00022F53" w:rsidP="00022F53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022F53" w:rsidRPr="00981A6C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022F53" w:rsidRPr="009F413C" w:rsidRDefault="00022F53" w:rsidP="00022F5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022F53" w:rsidRPr="009F413C" w:rsidRDefault="00022F53" w:rsidP="00022F53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022F53" w:rsidRPr="009F413C" w:rsidRDefault="00022F53" w:rsidP="00022F53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022F53" w:rsidRPr="009F413C" w:rsidRDefault="00022F53" w:rsidP="00022F5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022F53" w:rsidRPr="009F413C" w:rsidRDefault="00022F53" w:rsidP="00022F5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022F53" w:rsidRPr="009F413C" w:rsidRDefault="00022F53" w:rsidP="00022F53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022F53" w:rsidRPr="009F413C" w:rsidRDefault="00022F53" w:rsidP="00022F53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022F53" w:rsidRPr="009F413C" w:rsidRDefault="00022F53" w:rsidP="00022F53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022F53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022F53" w:rsidRPr="00AD3EBB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022F53" w:rsidRPr="00AD3EBB" w:rsidRDefault="00022F53" w:rsidP="00022F53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22F53" w:rsidRDefault="00022F53" w:rsidP="00593334">
      <w:pPr>
        <w:ind w:firstLine="709"/>
        <w:jc w:val="both"/>
        <w:rPr>
          <w:b/>
          <w:sz w:val="28"/>
        </w:rPr>
      </w:pPr>
    </w:p>
    <w:p w:rsidR="00022F53" w:rsidRPr="00755609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022F53" w:rsidRPr="00755609" w:rsidRDefault="00022F53" w:rsidP="00022F5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022F53" w:rsidRPr="00755609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022F53" w:rsidRDefault="00022F53" w:rsidP="00022F53">
      <w:pPr>
        <w:ind w:firstLine="709"/>
        <w:jc w:val="both"/>
        <w:rPr>
          <w:sz w:val="28"/>
        </w:rPr>
      </w:pPr>
    </w:p>
    <w:p w:rsidR="00022F53" w:rsidRPr="00742208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</w:t>
      </w:r>
      <w:r w:rsidRPr="00742208">
        <w:rPr>
          <w:sz w:val="28"/>
        </w:rPr>
        <w:t>и</w:t>
      </w:r>
      <w:r w:rsidRPr="00742208">
        <w:rPr>
          <w:sz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</w:rPr>
        <w:t>ч</w:t>
      </w:r>
      <w:r w:rsidRPr="00742208">
        <w:rPr>
          <w:sz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022F53" w:rsidRPr="00985E1D" w:rsidRDefault="00022F53" w:rsidP="00022F53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след</w:t>
      </w:r>
      <w:r>
        <w:rPr>
          <w:sz w:val="28"/>
        </w:rPr>
        <w:t>у</w:t>
      </w:r>
      <w:r>
        <w:rPr>
          <w:sz w:val="28"/>
        </w:rPr>
        <w:t xml:space="preserve">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</w:t>
      </w:r>
      <w:r>
        <w:rPr>
          <w:i/>
          <w:sz w:val="28"/>
        </w:rPr>
        <w:t>н</w:t>
      </w:r>
      <w:r>
        <w:rPr>
          <w:i/>
          <w:sz w:val="28"/>
        </w:rPr>
        <w:t>спекта, исходя из целей и задач самостоятельной работы)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 xml:space="preserve">сунков, цифр, ключевых слов и др.;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022F53" w:rsidRPr="00985E1D" w:rsidRDefault="00022F53" w:rsidP="00022F53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лиз структуры текста, обобщение, выделение логики развития событий и их сути;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Pr="00742208">
        <w:rPr>
          <w:sz w:val="28"/>
        </w:rPr>
        <w:t xml:space="preserve">водящая текст;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>
        <w:rPr>
          <w:sz w:val="28"/>
        </w:rPr>
        <w:t xml:space="preserve">; </w:t>
      </w:r>
    </w:p>
    <w:p w:rsidR="00022F53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022F53" w:rsidRPr="00742208" w:rsidRDefault="00022F53" w:rsidP="00022F5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жения изучаемого материала;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022F53" w:rsidRPr="00742208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 xml:space="preserve">ками», различные способы подчеркивания, ручки разного цвета);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022F53" w:rsidRDefault="00022F53" w:rsidP="00593334">
      <w:pPr>
        <w:ind w:firstLine="709"/>
        <w:jc w:val="both"/>
        <w:rPr>
          <w:b/>
          <w:sz w:val="28"/>
        </w:rPr>
      </w:pPr>
    </w:p>
    <w:p w:rsidR="00022F53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022F53" w:rsidRPr="00AD3EBB" w:rsidRDefault="00022F53" w:rsidP="00022F5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отнош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ний между изучаемыми феноменами, выраженными в форме переменных. </w:t>
      </w:r>
    </w:p>
    <w:p w:rsidR="00022F53" w:rsidRPr="009C4A0D" w:rsidRDefault="00022F53" w:rsidP="00022F53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 xml:space="preserve">елать несколько небольших по объему, но наглядных таблиц, отвечающих задаче исследования;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в таблице обязательно должны быть указаны изучаемый объект и единицы измерения;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4) при отсутствии каких-либо данных в таблице ставят многоточие либо п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шут «нет сведений», если какое-либо явление не имело места, то ставят тире;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022F53" w:rsidRPr="00AD3EBB" w:rsidRDefault="00022F53" w:rsidP="00022F53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умн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жения; </w:t>
      </w:r>
    </w:p>
    <w:p w:rsidR="00022F53" w:rsidRDefault="00022F53" w:rsidP="00022F53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022F53" w:rsidRDefault="00022F53" w:rsidP="00593334">
      <w:pPr>
        <w:ind w:firstLine="709"/>
        <w:jc w:val="both"/>
        <w:rPr>
          <w:b/>
          <w:sz w:val="28"/>
        </w:rPr>
      </w:pPr>
    </w:p>
    <w:p w:rsidR="00022F53" w:rsidRPr="00BD5AFD" w:rsidRDefault="00022F53" w:rsidP="00022F53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022F53" w:rsidRPr="00BD5AFD" w:rsidRDefault="00022F53" w:rsidP="00022F53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022F53" w:rsidRPr="00BD5AFD" w:rsidRDefault="00022F53" w:rsidP="00022F53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022F53" w:rsidRPr="00BD5AFD" w:rsidRDefault="00022F53" w:rsidP="00022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022F53" w:rsidRPr="00BD5AFD" w:rsidRDefault="00022F53" w:rsidP="00022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022F53" w:rsidRPr="00BD5AFD" w:rsidRDefault="00022F53" w:rsidP="00022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022F53" w:rsidRPr="00BD5AFD" w:rsidRDefault="00022F53" w:rsidP="00022F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022F53" w:rsidRPr="00BD5AFD" w:rsidRDefault="00022F53" w:rsidP="00022F53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022F53" w:rsidRPr="00BD5AFD" w:rsidRDefault="00022F53" w:rsidP="00022F5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022F53" w:rsidRDefault="00022F53" w:rsidP="00022F5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022F53" w:rsidRDefault="00022F53" w:rsidP="00022F5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022F53" w:rsidRPr="00BD5AFD" w:rsidRDefault="00022F53" w:rsidP="00022F53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022F53" w:rsidRPr="00BD5AFD" w:rsidRDefault="00022F53" w:rsidP="00022F53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022F53" w:rsidRDefault="00022F53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E4" w:rsidRDefault="00326FE4" w:rsidP="00FD5B6B">
      <w:r>
        <w:separator/>
      </w:r>
    </w:p>
  </w:endnote>
  <w:endnote w:type="continuationSeparator" w:id="0">
    <w:p w:rsidR="00326FE4" w:rsidRDefault="00326FE4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80" w:rsidRDefault="00264E8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45D42">
      <w:rPr>
        <w:noProof/>
      </w:rPr>
      <w:t>2</w:t>
    </w:r>
    <w:r>
      <w:fldChar w:fldCharType="end"/>
    </w:r>
  </w:p>
  <w:p w:rsidR="00264E80" w:rsidRDefault="00264E8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E4" w:rsidRDefault="00326FE4" w:rsidP="00FD5B6B">
      <w:r>
        <w:separator/>
      </w:r>
    </w:p>
  </w:footnote>
  <w:footnote w:type="continuationSeparator" w:id="0">
    <w:p w:rsidR="00326FE4" w:rsidRDefault="00326FE4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22F53"/>
    <w:rsid w:val="00033367"/>
    <w:rsid w:val="0003403A"/>
    <w:rsid w:val="00083C34"/>
    <w:rsid w:val="000931E3"/>
    <w:rsid w:val="000F249C"/>
    <w:rsid w:val="00145D42"/>
    <w:rsid w:val="001F5EE1"/>
    <w:rsid w:val="00264E80"/>
    <w:rsid w:val="0026698D"/>
    <w:rsid w:val="002D2784"/>
    <w:rsid w:val="00326FE4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9237F"/>
    <w:rsid w:val="008113A5"/>
    <w:rsid w:val="00832D24"/>
    <w:rsid w:val="00845C7D"/>
    <w:rsid w:val="009511F7"/>
    <w:rsid w:val="00951975"/>
    <w:rsid w:val="00985E1D"/>
    <w:rsid w:val="009978D9"/>
    <w:rsid w:val="009C2F35"/>
    <w:rsid w:val="009C4A0D"/>
    <w:rsid w:val="009F49C5"/>
    <w:rsid w:val="00AD3EBB"/>
    <w:rsid w:val="00AE2A6A"/>
    <w:rsid w:val="00AF327C"/>
    <w:rsid w:val="00B350F3"/>
    <w:rsid w:val="00BF1CD1"/>
    <w:rsid w:val="00C35B2E"/>
    <w:rsid w:val="00C83AB7"/>
    <w:rsid w:val="00D06B87"/>
    <w:rsid w:val="00D33524"/>
    <w:rsid w:val="00D35869"/>
    <w:rsid w:val="00D471E6"/>
    <w:rsid w:val="00E57C66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Светлана</cp:lastModifiedBy>
  <cp:revision>2</cp:revision>
  <dcterms:created xsi:type="dcterms:W3CDTF">2019-09-13T08:54:00Z</dcterms:created>
  <dcterms:modified xsi:type="dcterms:W3CDTF">2019-09-13T08:54:00Z</dcterms:modified>
</cp:coreProperties>
</file>