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62493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62493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62493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62493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4B2C94" w:rsidRDefault="004B2C94" w:rsidP="00963CA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963CA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D62493">
      <w:pPr>
        <w:ind w:firstLine="709"/>
        <w:jc w:val="center"/>
        <w:rPr>
          <w:sz w:val="28"/>
        </w:rPr>
      </w:pPr>
    </w:p>
    <w:p w:rsidR="005E5824" w:rsidRDefault="005E5824" w:rsidP="00D62493">
      <w:pPr>
        <w:jc w:val="center"/>
        <w:rPr>
          <w:sz w:val="28"/>
        </w:rPr>
      </w:pPr>
      <w:r w:rsidRPr="000E12FB">
        <w:rPr>
          <w:sz w:val="28"/>
        </w:rPr>
        <w:t xml:space="preserve">ЭКОНОМИКА И ПОЛИТИКА ЗДРАВООХРАНЕНИЯ </w:t>
      </w:r>
    </w:p>
    <w:p w:rsidR="005E5824" w:rsidRDefault="005E5824" w:rsidP="00D62493">
      <w:pPr>
        <w:jc w:val="center"/>
        <w:rPr>
          <w:sz w:val="28"/>
        </w:rPr>
      </w:pPr>
    </w:p>
    <w:p w:rsidR="005E5824" w:rsidRPr="004B1DC6" w:rsidRDefault="005E5824" w:rsidP="00D62493">
      <w:pPr>
        <w:jc w:val="center"/>
        <w:rPr>
          <w:sz w:val="28"/>
        </w:rPr>
      </w:pPr>
    </w:p>
    <w:p w:rsidR="005E5824" w:rsidRPr="004B1DC6" w:rsidRDefault="005E5824" w:rsidP="00D62493">
      <w:pPr>
        <w:jc w:val="center"/>
        <w:rPr>
          <w:sz w:val="28"/>
        </w:rPr>
      </w:pPr>
      <w:r w:rsidRPr="004B1DC6">
        <w:rPr>
          <w:sz w:val="28"/>
        </w:rPr>
        <w:t xml:space="preserve">по направлению подготовки магистратуры </w:t>
      </w:r>
    </w:p>
    <w:p w:rsidR="005E5824" w:rsidRPr="004B1DC6" w:rsidRDefault="005E5824" w:rsidP="00D62493">
      <w:pPr>
        <w:jc w:val="center"/>
        <w:rPr>
          <w:sz w:val="28"/>
        </w:rPr>
      </w:pPr>
    </w:p>
    <w:p w:rsidR="005E5824" w:rsidRPr="004B1DC6" w:rsidRDefault="005E5824" w:rsidP="00D62493">
      <w:pPr>
        <w:jc w:val="center"/>
        <w:rPr>
          <w:sz w:val="28"/>
        </w:rPr>
      </w:pPr>
    </w:p>
    <w:p w:rsidR="005E5824" w:rsidRPr="004B1DC6" w:rsidRDefault="005E5824" w:rsidP="00D62493">
      <w:pPr>
        <w:jc w:val="center"/>
        <w:rPr>
          <w:i/>
          <w:sz w:val="28"/>
          <w:szCs w:val="28"/>
        </w:rPr>
      </w:pPr>
      <w:r w:rsidRPr="004B1DC6">
        <w:rPr>
          <w:i/>
          <w:sz w:val="28"/>
          <w:szCs w:val="28"/>
        </w:rPr>
        <w:t>32.04.01 Общественное здравоохранение</w:t>
      </w:r>
    </w:p>
    <w:p w:rsidR="005E5824" w:rsidRPr="004B1DC6" w:rsidRDefault="005E5824" w:rsidP="00D62493">
      <w:pPr>
        <w:jc w:val="center"/>
        <w:rPr>
          <w:sz w:val="28"/>
        </w:rPr>
      </w:pPr>
    </w:p>
    <w:p w:rsidR="005E5824" w:rsidRPr="004B1DC6" w:rsidRDefault="005E5824" w:rsidP="00D62493">
      <w:pPr>
        <w:jc w:val="center"/>
        <w:rPr>
          <w:sz w:val="28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  <w:bookmarkStart w:id="0" w:name="_GoBack"/>
      <w:bookmarkEnd w:id="0"/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5E5824" w:rsidRPr="004B1DC6" w:rsidRDefault="005E5824" w:rsidP="00D62493">
      <w:pPr>
        <w:jc w:val="center"/>
        <w:rPr>
          <w:sz w:val="24"/>
          <w:szCs w:val="24"/>
        </w:rPr>
      </w:pPr>
    </w:p>
    <w:p w:rsidR="00851361" w:rsidRDefault="00851361" w:rsidP="00851361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ОрГМУ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5 от 27 декабря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color w:val="000000"/>
          <w:sz w:val="24"/>
          <w:szCs w:val="24"/>
        </w:rPr>
        <w:t>ФГБОУ ВО ОрГМУ Минздрава России</w:t>
      </w:r>
      <w:r>
        <w:rPr>
          <w:color w:val="000000"/>
          <w:sz w:val="24"/>
          <w:szCs w:val="24"/>
        </w:rPr>
        <w:t xml:space="preserve"> 30 декабря 2019 года. </w:t>
      </w:r>
    </w:p>
    <w:p w:rsidR="005E5824" w:rsidRPr="004B1DC6" w:rsidRDefault="005E5824" w:rsidP="00D62493">
      <w:pPr>
        <w:jc w:val="center"/>
        <w:rPr>
          <w:sz w:val="28"/>
        </w:rPr>
      </w:pPr>
    </w:p>
    <w:p w:rsidR="005E5824" w:rsidRPr="004B1DC6" w:rsidRDefault="005E5824" w:rsidP="00D62493">
      <w:pPr>
        <w:jc w:val="center"/>
        <w:rPr>
          <w:sz w:val="28"/>
        </w:rPr>
      </w:pPr>
      <w:r w:rsidRPr="004B1DC6">
        <w:rPr>
          <w:sz w:val="28"/>
        </w:rPr>
        <w:t>Оренбург</w:t>
      </w:r>
    </w:p>
    <w:p w:rsidR="005E5824" w:rsidRPr="004B1DC6" w:rsidRDefault="005E5824" w:rsidP="00D62493">
      <w:pPr>
        <w:jc w:val="center"/>
        <w:rPr>
          <w:sz w:val="28"/>
        </w:rPr>
        <w:sectPr w:rsidR="005E5824" w:rsidRPr="004B1DC6" w:rsidSect="00D62493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62493" w:rsidRDefault="00FD5B6B" w:rsidP="00D62493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62493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D62493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D62493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Default="009511F7" w:rsidP="00D62493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963CA6">
        <w:rPr>
          <w:sz w:val="28"/>
        </w:rPr>
        <w:t xml:space="preserve"> др.).</w:t>
      </w:r>
    </w:p>
    <w:p w:rsidR="00963CA6" w:rsidRPr="004B2C94" w:rsidRDefault="00963CA6" w:rsidP="00D62493">
      <w:pPr>
        <w:ind w:firstLine="709"/>
        <w:jc w:val="both"/>
        <w:rPr>
          <w:sz w:val="28"/>
        </w:rPr>
      </w:pPr>
      <w:r w:rsidRPr="000827DC">
        <w:rPr>
          <w:sz w:val="28"/>
        </w:rPr>
        <w:t>В результате самостоятельной работы в рамках дисциплины</w:t>
      </w:r>
      <w:r>
        <w:rPr>
          <w:sz w:val="28"/>
        </w:rPr>
        <w:t xml:space="preserve"> «Экономика и политика здравоохранения» обучающийся должен</w:t>
      </w:r>
      <w:r w:rsidR="000827DC">
        <w:rPr>
          <w:sz w:val="28"/>
        </w:rPr>
        <w:t xml:space="preserve"> научиться систематизировать и обобщать информацию по вопросам экономики и политики здравоохранения</w:t>
      </w:r>
      <w:r>
        <w:rPr>
          <w:sz w:val="28"/>
        </w:rPr>
        <w:t>.</w:t>
      </w:r>
    </w:p>
    <w:p w:rsidR="00FD5B6B" w:rsidRDefault="00FD5B6B" w:rsidP="00D62493">
      <w:pPr>
        <w:ind w:firstLine="709"/>
        <w:jc w:val="both"/>
        <w:rPr>
          <w:sz w:val="28"/>
        </w:rPr>
      </w:pPr>
    </w:p>
    <w:p w:rsidR="00F5136B" w:rsidRDefault="006F14A4" w:rsidP="00D62493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D62493">
      <w:pPr>
        <w:ind w:firstLine="709"/>
        <w:jc w:val="both"/>
        <w:rPr>
          <w:sz w:val="28"/>
        </w:rPr>
      </w:pPr>
    </w:p>
    <w:p w:rsidR="00476000" w:rsidRDefault="00476000" w:rsidP="00D62493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D62493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963CA6">
        <w:rPr>
          <w:sz w:val="28"/>
        </w:rPr>
        <w:t>.</w:t>
      </w:r>
    </w:p>
    <w:p w:rsidR="00D62493" w:rsidRDefault="00D62493" w:rsidP="00D62493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5"/>
        <w:gridCol w:w="2251"/>
        <w:gridCol w:w="2251"/>
        <w:gridCol w:w="1831"/>
      </w:tblGrid>
      <w:tr w:rsidR="000827DC" w:rsidRPr="00D62493" w:rsidTr="00D62493">
        <w:tc>
          <w:tcPr>
            <w:tcW w:w="543" w:type="dxa"/>
            <w:shd w:val="clear" w:color="auto" w:fill="auto"/>
          </w:tcPr>
          <w:p w:rsidR="006F14A4" w:rsidRPr="00D62493" w:rsidRDefault="006F14A4" w:rsidP="00D62493">
            <w:pPr>
              <w:ind w:firstLine="709"/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№</w:t>
            </w:r>
          </w:p>
        </w:tc>
        <w:tc>
          <w:tcPr>
            <w:tcW w:w="2695" w:type="dxa"/>
            <w:shd w:val="clear" w:color="auto" w:fill="auto"/>
          </w:tcPr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Тема самостоятельной </w:t>
            </w:r>
          </w:p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Форма </w:t>
            </w:r>
          </w:p>
          <w:p w:rsidR="006F14A4" w:rsidRPr="00D62493" w:rsidRDefault="006F14A4" w:rsidP="00D6249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2493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D62493" w:rsidRDefault="00F55788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D624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Форма </w:t>
            </w:r>
          </w:p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контактной </w:t>
            </w:r>
          </w:p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работы при </w:t>
            </w:r>
          </w:p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проведении </w:t>
            </w:r>
          </w:p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текущего </w:t>
            </w:r>
          </w:p>
          <w:p w:rsidR="006F14A4" w:rsidRPr="00D62493" w:rsidRDefault="006F14A4" w:rsidP="00D6249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2493">
              <w:rPr>
                <w:sz w:val="24"/>
                <w:szCs w:val="24"/>
              </w:rPr>
              <w:t>контроля</w:t>
            </w:r>
          </w:p>
        </w:tc>
      </w:tr>
      <w:tr w:rsidR="000827DC" w:rsidRPr="00D62493" w:rsidTr="00D62493">
        <w:tc>
          <w:tcPr>
            <w:tcW w:w="543" w:type="dxa"/>
            <w:shd w:val="clear" w:color="auto" w:fill="auto"/>
          </w:tcPr>
          <w:p w:rsidR="006F14A4" w:rsidRPr="00D62493" w:rsidRDefault="006F14A4" w:rsidP="00D62493">
            <w:pPr>
              <w:ind w:firstLine="709"/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4</w:t>
            </w:r>
          </w:p>
        </w:tc>
        <w:tc>
          <w:tcPr>
            <w:tcW w:w="1831" w:type="dxa"/>
            <w:shd w:val="clear" w:color="auto" w:fill="auto"/>
          </w:tcPr>
          <w:p w:rsidR="006F14A4" w:rsidRPr="00D62493" w:rsidRDefault="006F14A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5</w:t>
            </w:r>
          </w:p>
        </w:tc>
      </w:tr>
      <w:tr w:rsidR="009978D9" w:rsidRPr="00D62493" w:rsidTr="00D62493">
        <w:tc>
          <w:tcPr>
            <w:tcW w:w="9571" w:type="dxa"/>
            <w:gridSpan w:val="5"/>
            <w:shd w:val="clear" w:color="auto" w:fill="auto"/>
          </w:tcPr>
          <w:p w:rsidR="009978D9" w:rsidRPr="00D62493" w:rsidRDefault="009978D9" w:rsidP="00D62493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62493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D62493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0827DC" w:rsidRPr="00D62493" w:rsidTr="00D62493">
        <w:tc>
          <w:tcPr>
            <w:tcW w:w="543" w:type="dxa"/>
            <w:shd w:val="clear" w:color="auto" w:fill="auto"/>
          </w:tcPr>
          <w:p w:rsidR="005E5824" w:rsidRPr="00D62493" w:rsidRDefault="005E5824" w:rsidP="00D62493">
            <w:pPr>
              <w:ind w:firstLine="709"/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5E5824" w:rsidRPr="00D62493" w:rsidRDefault="005E5824" w:rsidP="00D6249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62493">
              <w:rPr>
                <w:sz w:val="24"/>
                <w:szCs w:val="24"/>
              </w:rPr>
              <w:t>Х</w:t>
            </w:r>
          </w:p>
        </w:tc>
        <w:tc>
          <w:tcPr>
            <w:tcW w:w="2251" w:type="dxa"/>
            <w:shd w:val="clear" w:color="auto" w:fill="auto"/>
          </w:tcPr>
          <w:p w:rsidR="005E5824" w:rsidRPr="00D62493" w:rsidRDefault="005E5824" w:rsidP="00D62493">
            <w:pPr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подготовка курсо</w:t>
            </w:r>
            <w:r w:rsidR="00FE7573" w:rsidRPr="00D62493">
              <w:rPr>
                <w:sz w:val="24"/>
                <w:szCs w:val="24"/>
              </w:rPr>
              <w:t>вой работы и составление элек</w:t>
            </w:r>
            <w:r w:rsidR="00FE7573" w:rsidRPr="00D62493">
              <w:rPr>
                <w:sz w:val="24"/>
                <w:szCs w:val="24"/>
              </w:rPr>
              <w:lastRenderedPageBreak/>
              <w:t>тронной презентации</w:t>
            </w:r>
          </w:p>
        </w:tc>
        <w:tc>
          <w:tcPr>
            <w:tcW w:w="2251" w:type="dxa"/>
            <w:shd w:val="clear" w:color="auto" w:fill="auto"/>
          </w:tcPr>
          <w:p w:rsidR="005E5824" w:rsidRPr="00D62493" w:rsidRDefault="005E582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lastRenderedPageBreak/>
              <w:t>защита курсовой работы, представление презентации</w:t>
            </w:r>
          </w:p>
        </w:tc>
        <w:tc>
          <w:tcPr>
            <w:tcW w:w="1831" w:type="dxa"/>
            <w:shd w:val="clear" w:color="auto" w:fill="auto"/>
          </w:tcPr>
          <w:p w:rsidR="005E5824" w:rsidRPr="00D62493" w:rsidRDefault="005E582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КСР</w:t>
            </w:r>
          </w:p>
          <w:p w:rsidR="005E5824" w:rsidRPr="00D62493" w:rsidRDefault="005E582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аудиторная</w:t>
            </w:r>
          </w:p>
        </w:tc>
      </w:tr>
      <w:tr w:rsidR="005E5824" w:rsidRPr="00D62493" w:rsidTr="00D62493">
        <w:tc>
          <w:tcPr>
            <w:tcW w:w="9571" w:type="dxa"/>
            <w:gridSpan w:val="5"/>
            <w:shd w:val="clear" w:color="auto" w:fill="auto"/>
          </w:tcPr>
          <w:p w:rsidR="005E5824" w:rsidRPr="00D62493" w:rsidRDefault="005E5824" w:rsidP="00D62493">
            <w:pPr>
              <w:jc w:val="center"/>
              <w:rPr>
                <w:i/>
                <w:sz w:val="24"/>
                <w:szCs w:val="24"/>
              </w:rPr>
            </w:pPr>
            <w:r w:rsidRPr="00D62493">
              <w:rPr>
                <w:i/>
                <w:sz w:val="24"/>
                <w:szCs w:val="24"/>
              </w:rPr>
              <w:lastRenderedPageBreak/>
              <w:t xml:space="preserve">Самостоятельная работа </w:t>
            </w:r>
            <w:r w:rsidR="008B6903">
              <w:rPr>
                <w:i/>
                <w:sz w:val="24"/>
                <w:szCs w:val="24"/>
              </w:rPr>
              <w:t xml:space="preserve">в рамках практических </w:t>
            </w:r>
            <w:r w:rsidRPr="00D62493">
              <w:rPr>
                <w:i/>
                <w:sz w:val="24"/>
                <w:szCs w:val="24"/>
              </w:rPr>
              <w:t>занятий</w:t>
            </w:r>
          </w:p>
          <w:p w:rsidR="005E5824" w:rsidRPr="00D62493" w:rsidRDefault="005E5824" w:rsidP="00D6249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62493">
              <w:rPr>
                <w:i/>
                <w:sz w:val="24"/>
                <w:szCs w:val="24"/>
              </w:rPr>
              <w:t xml:space="preserve">модуля </w:t>
            </w:r>
            <w:r w:rsidRPr="00D62493">
              <w:rPr>
                <w:sz w:val="24"/>
                <w:szCs w:val="24"/>
              </w:rPr>
              <w:t>«</w:t>
            </w:r>
            <w:r w:rsidRPr="00D62493">
              <w:rPr>
                <w:i/>
                <w:color w:val="000000"/>
                <w:sz w:val="24"/>
                <w:szCs w:val="24"/>
              </w:rPr>
              <w:t>Экономические вопросы охраны здоровья населения</w:t>
            </w:r>
            <w:r w:rsidRPr="00D62493">
              <w:rPr>
                <w:sz w:val="24"/>
                <w:szCs w:val="24"/>
              </w:rPr>
              <w:t>»</w:t>
            </w:r>
          </w:p>
        </w:tc>
      </w:tr>
      <w:tr w:rsidR="000827DC" w:rsidRPr="00D62493" w:rsidTr="00D62493">
        <w:tc>
          <w:tcPr>
            <w:tcW w:w="543" w:type="dxa"/>
            <w:shd w:val="clear" w:color="auto" w:fill="auto"/>
          </w:tcPr>
          <w:p w:rsidR="005E5824" w:rsidRPr="00D62493" w:rsidRDefault="00D62493" w:rsidP="00D6249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5824" w:rsidRPr="00D62493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5E5824" w:rsidRPr="00D62493" w:rsidRDefault="005E582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Тема «</w:t>
            </w:r>
            <w:r w:rsidR="008B6903" w:rsidRPr="008B6903">
              <w:rPr>
                <w:color w:val="000000"/>
                <w:sz w:val="24"/>
                <w:szCs w:val="28"/>
              </w:rPr>
              <w:t>Экономика и политика в здравоохранении</w:t>
            </w:r>
            <w:r w:rsidR="008B6903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5E5824" w:rsidRPr="00D62493" w:rsidRDefault="005E582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 xml:space="preserve">работа </w:t>
            </w:r>
            <w:r w:rsidR="00D62493" w:rsidRPr="00D62493">
              <w:rPr>
                <w:sz w:val="24"/>
                <w:szCs w:val="24"/>
              </w:rPr>
              <w:t xml:space="preserve">над конспектом лекции, </w:t>
            </w:r>
            <w:r w:rsidRPr="00D62493">
              <w:rPr>
                <w:sz w:val="24"/>
                <w:szCs w:val="24"/>
              </w:rPr>
              <w:t>над учебным материалом; чтение учебников, дополнительной литературы, ресурсов Интернет); ознакомление с нормативными документами</w:t>
            </w:r>
          </w:p>
        </w:tc>
        <w:tc>
          <w:tcPr>
            <w:tcW w:w="2251" w:type="dxa"/>
            <w:shd w:val="clear" w:color="auto" w:fill="auto"/>
          </w:tcPr>
          <w:p w:rsidR="005E5824" w:rsidRPr="00D62493" w:rsidRDefault="008B6903" w:rsidP="00D6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5E5824" w:rsidRDefault="005E582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Устный опрос</w:t>
            </w:r>
          </w:p>
          <w:p w:rsidR="008B6903" w:rsidRPr="00D62493" w:rsidRDefault="008B6903" w:rsidP="00D62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831" w:type="dxa"/>
            <w:shd w:val="clear" w:color="auto" w:fill="auto"/>
          </w:tcPr>
          <w:p w:rsidR="005E5824" w:rsidRPr="00D62493" w:rsidRDefault="005E5824" w:rsidP="00D6249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аудиторная</w:t>
            </w:r>
          </w:p>
        </w:tc>
      </w:tr>
      <w:tr w:rsidR="008B6903" w:rsidRPr="00D62493" w:rsidTr="00D62493">
        <w:tc>
          <w:tcPr>
            <w:tcW w:w="543" w:type="dxa"/>
            <w:shd w:val="clear" w:color="auto" w:fill="auto"/>
          </w:tcPr>
          <w:p w:rsidR="008B6903" w:rsidRDefault="008B6903" w:rsidP="008B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8B6903">
              <w:rPr>
                <w:color w:val="000000"/>
                <w:sz w:val="24"/>
                <w:szCs w:val="28"/>
              </w:rPr>
              <w:t>Финансирование здравоохранения. Системы ОМС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работа над конспектом лекции, над учебным материалом; чтение учебников, дополнительной литературы, ресурсов Интернет); ознакомление с нормативными документами</w:t>
            </w:r>
          </w:p>
        </w:tc>
        <w:tc>
          <w:tcPr>
            <w:tcW w:w="225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8B690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Устный опрос</w:t>
            </w:r>
          </w:p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83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аудиторная</w:t>
            </w:r>
          </w:p>
        </w:tc>
      </w:tr>
      <w:tr w:rsidR="008B6903" w:rsidRPr="00D62493" w:rsidTr="00D62493">
        <w:tc>
          <w:tcPr>
            <w:tcW w:w="9571" w:type="dxa"/>
            <w:gridSpan w:val="5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i/>
                <w:sz w:val="24"/>
                <w:szCs w:val="24"/>
              </w:rPr>
            </w:pPr>
            <w:r w:rsidRPr="00D62493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8B6903" w:rsidRPr="00D62493" w:rsidRDefault="008B6903" w:rsidP="008B690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D62493">
              <w:rPr>
                <w:i/>
                <w:sz w:val="24"/>
                <w:szCs w:val="24"/>
              </w:rPr>
              <w:t xml:space="preserve">модуля </w:t>
            </w:r>
            <w:r w:rsidRPr="00D62493">
              <w:rPr>
                <w:sz w:val="24"/>
                <w:szCs w:val="24"/>
              </w:rPr>
              <w:t>«</w:t>
            </w:r>
            <w:r w:rsidRPr="00D62493">
              <w:rPr>
                <w:i/>
                <w:color w:val="000000"/>
                <w:sz w:val="24"/>
                <w:szCs w:val="24"/>
              </w:rPr>
              <w:t>Экономика медицинской организации</w:t>
            </w:r>
            <w:r w:rsidRPr="00D62493">
              <w:rPr>
                <w:sz w:val="24"/>
                <w:szCs w:val="24"/>
              </w:rPr>
              <w:t>»</w:t>
            </w:r>
          </w:p>
        </w:tc>
      </w:tr>
      <w:tr w:rsidR="000827DC" w:rsidRPr="00D62493" w:rsidTr="00D62493">
        <w:tc>
          <w:tcPr>
            <w:tcW w:w="543" w:type="dxa"/>
            <w:shd w:val="clear" w:color="auto" w:fill="auto"/>
          </w:tcPr>
          <w:p w:rsidR="008B6903" w:rsidRPr="00D62493" w:rsidRDefault="008B6903" w:rsidP="008B690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2493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8B6903" w:rsidRPr="00D62493" w:rsidRDefault="008B6903" w:rsidP="000827DC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Тема «</w:t>
            </w:r>
            <w:r w:rsidR="000827DC" w:rsidRPr="000827DC">
              <w:rPr>
                <w:color w:val="000000"/>
                <w:sz w:val="24"/>
                <w:szCs w:val="28"/>
              </w:rPr>
              <w:t>Экономика медицинской организации</w:t>
            </w:r>
            <w:r w:rsidRPr="00D62493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работа над конспектом лекции, над учебным материалом; чтение учебников, дополнительной литературы, ресурсов Интернет); ознакомление с нормативными документами;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0827DC" w:rsidRPr="00D62493" w:rsidRDefault="000827DC" w:rsidP="0008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0827DC" w:rsidRDefault="000827DC" w:rsidP="000827DC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Устный опрос</w:t>
            </w:r>
          </w:p>
          <w:p w:rsidR="008B6903" w:rsidRPr="00D62493" w:rsidRDefault="000827DC" w:rsidP="0008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83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аудиторная</w:t>
            </w:r>
          </w:p>
        </w:tc>
      </w:tr>
      <w:tr w:rsidR="000827DC" w:rsidRPr="00D62493" w:rsidTr="00D62493">
        <w:tc>
          <w:tcPr>
            <w:tcW w:w="543" w:type="dxa"/>
            <w:shd w:val="clear" w:color="auto" w:fill="auto"/>
          </w:tcPr>
          <w:p w:rsidR="008B6903" w:rsidRPr="00D62493" w:rsidRDefault="008B6903" w:rsidP="008B690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2493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Тема «</w:t>
            </w:r>
            <w:r w:rsidRPr="00D62493">
              <w:rPr>
                <w:color w:val="000000"/>
                <w:sz w:val="24"/>
                <w:szCs w:val="24"/>
              </w:rPr>
              <w:t>Нормирование и оплата труда медицинских работников</w:t>
            </w:r>
            <w:r w:rsidRPr="00D62493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работа над конспектом лекции, над учебным материалом; чтение учебников, дополнительной литературы, ресурсов Интернет); ознакомление с нормативными документами; решение вариа</w:t>
            </w:r>
            <w:r w:rsidRPr="00D62493">
              <w:rPr>
                <w:sz w:val="24"/>
                <w:szCs w:val="24"/>
              </w:rPr>
              <w:lastRenderedPageBreak/>
              <w:t>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0827DC" w:rsidRPr="00D62493" w:rsidRDefault="000827DC" w:rsidP="0008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Письменный опрос</w:t>
            </w:r>
          </w:p>
          <w:p w:rsidR="000827DC" w:rsidRDefault="000827DC" w:rsidP="000827DC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Устный опрос</w:t>
            </w:r>
          </w:p>
          <w:p w:rsidR="008B6903" w:rsidRPr="00D62493" w:rsidRDefault="000827DC" w:rsidP="0008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83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аудиторная</w:t>
            </w:r>
          </w:p>
        </w:tc>
      </w:tr>
      <w:tr w:rsidR="000827DC" w:rsidRPr="00D62493" w:rsidTr="00D62493">
        <w:tc>
          <w:tcPr>
            <w:tcW w:w="543" w:type="dxa"/>
            <w:shd w:val="clear" w:color="auto" w:fill="auto"/>
          </w:tcPr>
          <w:p w:rsidR="008B6903" w:rsidRPr="00D62493" w:rsidRDefault="008B6903" w:rsidP="008B690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62493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Тема «</w:t>
            </w:r>
            <w:r w:rsidRPr="00D62493">
              <w:rPr>
                <w:color w:val="000000"/>
                <w:sz w:val="24"/>
                <w:szCs w:val="24"/>
              </w:rPr>
              <w:t>Клинико-экономический анализ в медицине</w:t>
            </w:r>
            <w:r w:rsidRPr="00D62493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работа над учебным материалом; чтение учебников, дополнительной литературы, ресурсов Интернет); ознакомление с нормативными документами; решение вариативных задач и упражнений; решение ситуационных задач;</w:t>
            </w:r>
          </w:p>
        </w:tc>
        <w:tc>
          <w:tcPr>
            <w:tcW w:w="2251" w:type="dxa"/>
            <w:shd w:val="clear" w:color="auto" w:fill="auto"/>
          </w:tcPr>
          <w:p w:rsidR="000827DC" w:rsidRPr="00D62493" w:rsidRDefault="000827DC" w:rsidP="0008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  <w:p w:rsidR="000827DC" w:rsidRDefault="000827DC" w:rsidP="000827DC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Устный опрос</w:t>
            </w:r>
          </w:p>
          <w:p w:rsidR="008B6903" w:rsidRPr="00D62493" w:rsidRDefault="000827DC" w:rsidP="00082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1831" w:type="dxa"/>
            <w:shd w:val="clear" w:color="auto" w:fill="auto"/>
          </w:tcPr>
          <w:p w:rsidR="008B6903" w:rsidRPr="00D62493" w:rsidRDefault="008B6903" w:rsidP="008B6903">
            <w:pPr>
              <w:jc w:val="center"/>
              <w:rPr>
                <w:sz w:val="24"/>
                <w:szCs w:val="24"/>
              </w:rPr>
            </w:pPr>
            <w:r w:rsidRPr="00D62493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D62493">
      <w:pPr>
        <w:ind w:firstLine="709"/>
        <w:jc w:val="both"/>
        <w:rPr>
          <w:sz w:val="28"/>
        </w:rPr>
      </w:pPr>
    </w:p>
    <w:p w:rsidR="005E5824" w:rsidRDefault="005E5824" w:rsidP="00D62493">
      <w:pPr>
        <w:ind w:firstLine="709"/>
        <w:jc w:val="both"/>
        <w:rPr>
          <w:sz w:val="28"/>
        </w:rPr>
      </w:pPr>
    </w:p>
    <w:p w:rsidR="009978D9" w:rsidRDefault="009978D9" w:rsidP="00D62493">
      <w:pPr>
        <w:ind w:firstLine="709"/>
        <w:jc w:val="both"/>
        <w:rPr>
          <w:sz w:val="28"/>
        </w:rPr>
      </w:pPr>
    </w:p>
    <w:p w:rsidR="00FE7573" w:rsidRDefault="00FE7573" w:rsidP="00D62493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0827DC">
      <w:pPr>
        <w:jc w:val="center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BF1CD1" w:rsidRDefault="00BF1CD1" w:rsidP="00D62493">
      <w:pPr>
        <w:ind w:firstLine="709"/>
        <w:jc w:val="both"/>
        <w:rPr>
          <w:sz w:val="28"/>
        </w:rPr>
      </w:pPr>
    </w:p>
    <w:p w:rsidR="009C4A0D" w:rsidRDefault="009C4A0D" w:rsidP="00D6249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D6249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D62493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D6249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D6249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FC5A64" w:rsidP="00D6249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FC5A64" w:rsidP="00D62493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</w:t>
      </w:r>
      <w:r w:rsidRPr="006E062D">
        <w:rPr>
          <w:color w:val="000000"/>
          <w:sz w:val="28"/>
          <w:szCs w:val="28"/>
        </w:rPr>
        <w:lastRenderedPageBreak/>
        <w:t>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D6249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D62493">
      <w:pPr>
        <w:ind w:firstLine="709"/>
        <w:jc w:val="both"/>
        <w:rPr>
          <w:sz w:val="28"/>
        </w:rPr>
      </w:pPr>
    </w:p>
    <w:p w:rsidR="00693E11" w:rsidRDefault="00C35B2E" w:rsidP="00D6249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D6249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D62493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D6249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D6249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D6249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авторитетными, значимыми;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D6249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D6249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D6249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D6249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D6249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D6249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D6249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D6249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62493" w:rsidRDefault="00D62493" w:rsidP="00D62493">
      <w:pPr>
        <w:jc w:val="center"/>
        <w:rPr>
          <w:b/>
          <w:sz w:val="28"/>
        </w:rPr>
      </w:pPr>
    </w:p>
    <w:p w:rsidR="00D62493" w:rsidRPr="00755609" w:rsidRDefault="00D62493" w:rsidP="00D62493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62493" w:rsidRDefault="00D62493" w:rsidP="00D6249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D62493" w:rsidRPr="00755609" w:rsidRDefault="00D62493" w:rsidP="00D62493">
      <w:pPr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D62493" w:rsidRPr="00D91C2F" w:rsidRDefault="00D62493" w:rsidP="00D62493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91C2F">
        <w:rPr>
          <w:sz w:val="28"/>
        </w:rPr>
        <w:lastRenderedPageBreak/>
        <w:t xml:space="preserve">изучение конспектов лекций, раскрывающих материал, знание которого проверяется контрольной работой; </w:t>
      </w:r>
    </w:p>
    <w:p w:rsidR="00D62493" w:rsidRPr="00D91C2F" w:rsidRDefault="00D62493" w:rsidP="00D62493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D62493" w:rsidRPr="00D91C2F" w:rsidRDefault="00D62493" w:rsidP="00D62493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D62493" w:rsidRPr="00D91C2F" w:rsidRDefault="00D62493" w:rsidP="00D62493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D62493" w:rsidRPr="00D91C2F" w:rsidRDefault="00D62493" w:rsidP="00D62493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91C2F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C35B2E" w:rsidRDefault="00C35B2E" w:rsidP="00D62493">
      <w:pPr>
        <w:ind w:firstLine="709"/>
        <w:jc w:val="both"/>
        <w:rPr>
          <w:sz w:val="28"/>
        </w:rPr>
      </w:pPr>
    </w:p>
    <w:p w:rsidR="00755609" w:rsidRPr="00755609" w:rsidRDefault="00755609" w:rsidP="00D6249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D6249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Default="00755609" w:rsidP="00D6249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D62493">
      <w:pPr>
        <w:ind w:firstLine="709"/>
        <w:jc w:val="both"/>
        <w:rPr>
          <w:sz w:val="28"/>
        </w:rPr>
      </w:pPr>
    </w:p>
    <w:p w:rsidR="00AD3EBB" w:rsidRDefault="00AD3EBB" w:rsidP="00D6249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D6249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AD3EBB" w:rsidRDefault="00AD3EBB" w:rsidP="00D6249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AD3EBB" w:rsidRDefault="00AD3EBB" w:rsidP="00D62493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D62493">
      <w:pPr>
        <w:ind w:firstLine="709"/>
        <w:jc w:val="center"/>
        <w:rPr>
          <w:b/>
          <w:sz w:val="28"/>
        </w:rPr>
      </w:pPr>
    </w:p>
    <w:p w:rsidR="00C35B2E" w:rsidRPr="00BD5AFD" w:rsidRDefault="00C35B2E" w:rsidP="00D62493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D62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35B2E" w:rsidRPr="00BD5AFD" w:rsidRDefault="00C35B2E" w:rsidP="00D624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D6249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D6249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D6249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C35B2E" w:rsidRDefault="00C35B2E" w:rsidP="00D62493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D62493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информацией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 xml:space="preserve">. Каждая отдельная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лучше»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D62493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информацию для контактов.</w:t>
      </w:r>
    </w:p>
    <w:p w:rsidR="00C35B2E" w:rsidRPr="00BD5AFD" w:rsidRDefault="00C35B2E" w:rsidP="00D6249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D6249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D62493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D62493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35B2E" w:rsidRPr="00BD5AFD" w:rsidRDefault="00F922E9" w:rsidP="00D62493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35B2E" w:rsidRDefault="00C35B2E" w:rsidP="00D6249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D70C3B" w:rsidRDefault="00D70C3B" w:rsidP="00D6249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D70C3B" w:rsidRDefault="00D70C3B" w:rsidP="00D6249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D70C3B" w:rsidRDefault="00D70C3B" w:rsidP="00D6249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D70C3B" w:rsidRDefault="00D70C3B" w:rsidP="00D62493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70C3B" w:rsidRDefault="00D70C3B" w:rsidP="00D62493">
      <w:pPr>
        <w:ind w:firstLine="709"/>
        <w:jc w:val="both"/>
        <w:rPr>
          <w:sz w:val="28"/>
        </w:rPr>
      </w:pPr>
    </w:p>
    <w:p w:rsidR="00D70C3B" w:rsidRPr="00BD5AFD" w:rsidRDefault="00D70C3B" w:rsidP="00D62493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D70C3B" w:rsidRPr="00BD5AFD" w:rsidSect="00D6249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64" w:rsidRDefault="00FC5A64" w:rsidP="00FD5B6B">
      <w:r>
        <w:separator/>
      </w:r>
    </w:p>
  </w:endnote>
  <w:endnote w:type="continuationSeparator" w:id="0">
    <w:p w:rsidR="00FC5A64" w:rsidRDefault="00FC5A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24" w:rsidRDefault="00A85464" w:rsidP="005E5824">
    <w:pPr>
      <w:pStyle w:val="ad"/>
      <w:jc w:val="right"/>
    </w:pPr>
    <w:r>
      <w:fldChar w:fldCharType="begin"/>
    </w:r>
    <w:r w:rsidR="005E5824">
      <w:instrText>PAGE   \* MERGEFORMAT</w:instrText>
    </w:r>
    <w:r>
      <w:fldChar w:fldCharType="separate"/>
    </w:r>
    <w:r w:rsidR="0085136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24" w:rsidRDefault="00A85464" w:rsidP="00D62493">
    <w:pPr>
      <w:pStyle w:val="ad"/>
      <w:jc w:val="right"/>
    </w:pPr>
    <w:r>
      <w:fldChar w:fldCharType="begin"/>
    </w:r>
    <w:r w:rsidR="005E5824">
      <w:instrText>PAGE   \* MERGEFORMAT</w:instrText>
    </w:r>
    <w:r>
      <w:fldChar w:fldCharType="separate"/>
    </w:r>
    <w:r w:rsidR="0085136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64" w:rsidRDefault="00FC5A64" w:rsidP="00FD5B6B">
      <w:r>
        <w:separator/>
      </w:r>
    </w:p>
  </w:footnote>
  <w:footnote w:type="continuationSeparator" w:id="0">
    <w:p w:rsidR="00FC5A64" w:rsidRDefault="00FC5A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67D25"/>
    <w:multiLevelType w:val="hybridMultilevel"/>
    <w:tmpl w:val="94F635E8"/>
    <w:lvl w:ilvl="0" w:tplc="4A0E4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17EC"/>
    <w:rsid w:val="00033367"/>
    <w:rsid w:val="0003403A"/>
    <w:rsid w:val="000827DC"/>
    <w:rsid w:val="00083C34"/>
    <w:rsid w:val="000931E3"/>
    <w:rsid w:val="001F5EE1"/>
    <w:rsid w:val="0026698D"/>
    <w:rsid w:val="00282965"/>
    <w:rsid w:val="002D2784"/>
    <w:rsid w:val="00364EF6"/>
    <w:rsid w:val="0039761E"/>
    <w:rsid w:val="003B5F75"/>
    <w:rsid w:val="003C37BE"/>
    <w:rsid w:val="00476000"/>
    <w:rsid w:val="004B2C94"/>
    <w:rsid w:val="004C1386"/>
    <w:rsid w:val="004C235F"/>
    <w:rsid w:val="004D1091"/>
    <w:rsid w:val="005677BE"/>
    <w:rsid w:val="00582BA5"/>
    <w:rsid w:val="00593334"/>
    <w:rsid w:val="005E5824"/>
    <w:rsid w:val="006847B8"/>
    <w:rsid w:val="00693E11"/>
    <w:rsid w:val="006F14A4"/>
    <w:rsid w:val="006F7AD8"/>
    <w:rsid w:val="00742208"/>
    <w:rsid w:val="00755609"/>
    <w:rsid w:val="0079237F"/>
    <w:rsid w:val="007A58AE"/>
    <w:rsid w:val="008113A5"/>
    <w:rsid w:val="00832D24"/>
    <w:rsid w:val="00845C7D"/>
    <w:rsid w:val="00846B9E"/>
    <w:rsid w:val="00851361"/>
    <w:rsid w:val="008A38D0"/>
    <w:rsid w:val="008B6903"/>
    <w:rsid w:val="00936120"/>
    <w:rsid w:val="009511F7"/>
    <w:rsid w:val="00963CA6"/>
    <w:rsid w:val="00985E1D"/>
    <w:rsid w:val="009978D9"/>
    <w:rsid w:val="009A4914"/>
    <w:rsid w:val="009C2F35"/>
    <w:rsid w:val="009C4A0D"/>
    <w:rsid w:val="009F49C5"/>
    <w:rsid w:val="00A85464"/>
    <w:rsid w:val="00AD3EBB"/>
    <w:rsid w:val="00AF327C"/>
    <w:rsid w:val="00B350F3"/>
    <w:rsid w:val="00BF1CD1"/>
    <w:rsid w:val="00C35B2E"/>
    <w:rsid w:val="00C83AB7"/>
    <w:rsid w:val="00CF6909"/>
    <w:rsid w:val="00D06B87"/>
    <w:rsid w:val="00D33524"/>
    <w:rsid w:val="00D35869"/>
    <w:rsid w:val="00D471E6"/>
    <w:rsid w:val="00D62493"/>
    <w:rsid w:val="00D70C3B"/>
    <w:rsid w:val="00E57C66"/>
    <w:rsid w:val="00F0689E"/>
    <w:rsid w:val="00F44E53"/>
    <w:rsid w:val="00F5136B"/>
    <w:rsid w:val="00F55788"/>
    <w:rsid w:val="00F565B0"/>
    <w:rsid w:val="00F8248C"/>
    <w:rsid w:val="00F8739C"/>
    <w:rsid w:val="00F922E9"/>
    <w:rsid w:val="00FC5A64"/>
    <w:rsid w:val="00FD34ED"/>
    <w:rsid w:val="00FD5B6B"/>
    <w:rsid w:val="00FE757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1C712F-5E66-4704-8188-9A7BE99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6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Калинина Екатерина Алексеевна</cp:lastModifiedBy>
  <cp:revision>8</cp:revision>
  <dcterms:created xsi:type="dcterms:W3CDTF">2019-03-10T05:05:00Z</dcterms:created>
  <dcterms:modified xsi:type="dcterms:W3CDTF">2021-09-14T05:56:00Z</dcterms:modified>
</cp:coreProperties>
</file>