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D2" w:rsidRPr="00321A77" w:rsidRDefault="005668D2" w:rsidP="005668D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668D2" w:rsidRP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8D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68D2">
        <w:rPr>
          <w:rFonts w:ascii="Times New Roman" w:hAnsi="Times New Roman"/>
          <w:color w:val="000000"/>
          <w:sz w:val="28"/>
          <w:szCs w:val="28"/>
        </w:rPr>
        <w:t>: Основные понятия гендерной психологии: гендерные различия, гендерные характеристики личности, гендерная социализация и гендерные отношения.</w:t>
      </w:r>
    </w:p>
    <w:p w:rsidR="005668D2" w:rsidRP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668D2" w:rsidRPr="00321A77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сформировать у обучающихся знания о </w:t>
      </w:r>
      <w:r w:rsidR="00F7405A">
        <w:rPr>
          <w:rFonts w:ascii="Times New Roman" w:hAnsi="Times New Roman"/>
          <w:color w:val="000000"/>
          <w:sz w:val="28"/>
          <w:szCs w:val="24"/>
        </w:rPr>
        <w:t xml:space="preserve">структуре гендерной психологии; раскрыть содержание основных понятий гендерной психологии: </w:t>
      </w:r>
      <w:r>
        <w:rPr>
          <w:rFonts w:ascii="Times New Roman" w:hAnsi="Times New Roman"/>
          <w:color w:val="000000"/>
          <w:sz w:val="28"/>
          <w:szCs w:val="24"/>
        </w:rPr>
        <w:t>«</w:t>
      </w:r>
      <w:r w:rsidR="00F7405A">
        <w:rPr>
          <w:rFonts w:ascii="Times New Roman" w:hAnsi="Times New Roman"/>
          <w:color w:val="000000"/>
          <w:sz w:val="28"/>
          <w:szCs w:val="24"/>
        </w:rPr>
        <w:t>гендерные различия», «гендерные характеристики личности»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="00F7405A">
        <w:rPr>
          <w:rFonts w:ascii="Times New Roman" w:hAnsi="Times New Roman"/>
          <w:color w:val="000000"/>
          <w:sz w:val="28"/>
          <w:szCs w:val="24"/>
        </w:rPr>
        <w:t xml:space="preserve"> «гендерная социализация», «гендерные отношения».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30A50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</w:t>
      </w:r>
      <w:r w:rsidR="00830A50">
        <w:rPr>
          <w:rFonts w:ascii="Times New Roman" w:hAnsi="Times New Roman"/>
          <w:color w:val="000000"/>
          <w:sz w:val="28"/>
          <w:szCs w:val="28"/>
        </w:rPr>
        <w:t xml:space="preserve">определяются основные </w:t>
      </w:r>
      <w:r>
        <w:rPr>
          <w:rFonts w:ascii="Times New Roman" w:hAnsi="Times New Roman"/>
          <w:color w:val="000000"/>
          <w:sz w:val="28"/>
          <w:szCs w:val="28"/>
        </w:rPr>
        <w:t>поняти</w:t>
      </w:r>
      <w:r w:rsidR="00830A50">
        <w:rPr>
          <w:rFonts w:ascii="Times New Roman" w:hAnsi="Times New Roman"/>
          <w:color w:val="000000"/>
          <w:sz w:val="28"/>
          <w:szCs w:val="28"/>
        </w:rPr>
        <w:t xml:space="preserve">я гендерной психологии, и раскрывается их основное содержание. При характеристике гендерных различий основное внимание уделяется различиям, обусловленным не только биологическим полом, но и психологическим различиям в когнитивной сфере, сфере общения и взаимодействия с людьми, в деловой (профессиональной сфере), а также в </w:t>
      </w:r>
      <w:proofErr w:type="spellStart"/>
      <w:r w:rsidR="00830A50">
        <w:rPr>
          <w:rFonts w:ascii="Times New Roman" w:hAnsi="Times New Roman"/>
          <w:color w:val="000000"/>
          <w:sz w:val="28"/>
          <w:szCs w:val="28"/>
        </w:rPr>
        <w:t>аддиктивном</w:t>
      </w:r>
      <w:proofErr w:type="spellEnd"/>
      <w:r w:rsidR="00830A50">
        <w:rPr>
          <w:rFonts w:ascii="Times New Roman" w:hAnsi="Times New Roman"/>
          <w:color w:val="000000"/>
          <w:sz w:val="28"/>
          <w:szCs w:val="28"/>
        </w:rPr>
        <w:t xml:space="preserve"> поведении. Гендерные характеристики личности предполагают освещение таких аспектов, как: гендерная идентичность (</w:t>
      </w:r>
      <w:proofErr w:type="spellStart"/>
      <w:r w:rsidR="00830A50">
        <w:rPr>
          <w:rFonts w:ascii="Times New Roman" w:hAnsi="Times New Roman"/>
          <w:color w:val="000000"/>
          <w:sz w:val="28"/>
          <w:szCs w:val="28"/>
        </w:rPr>
        <w:t>маскулинность</w:t>
      </w:r>
      <w:proofErr w:type="spellEnd"/>
      <w:r w:rsidR="00830A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830A50">
        <w:rPr>
          <w:rFonts w:ascii="Times New Roman" w:hAnsi="Times New Roman"/>
          <w:color w:val="000000"/>
          <w:sz w:val="28"/>
          <w:szCs w:val="28"/>
        </w:rPr>
        <w:t>феминность</w:t>
      </w:r>
      <w:proofErr w:type="spellEnd"/>
      <w:r w:rsidR="00830A50">
        <w:rPr>
          <w:rFonts w:ascii="Times New Roman" w:hAnsi="Times New Roman"/>
          <w:color w:val="000000"/>
          <w:sz w:val="28"/>
          <w:szCs w:val="28"/>
        </w:rPr>
        <w:t xml:space="preserve"> и андрогиния, кризис гендерной идентичности); гендерные стереотипы (стереотипы </w:t>
      </w:r>
      <w:proofErr w:type="spellStart"/>
      <w:r w:rsidR="00830A50">
        <w:rPr>
          <w:rFonts w:ascii="Times New Roman" w:hAnsi="Times New Roman"/>
          <w:color w:val="000000"/>
          <w:sz w:val="28"/>
          <w:szCs w:val="28"/>
        </w:rPr>
        <w:t>маскулинности-феминности</w:t>
      </w:r>
      <w:proofErr w:type="spellEnd"/>
      <w:r w:rsidR="00830A50">
        <w:rPr>
          <w:rFonts w:ascii="Times New Roman" w:hAnsi="Times New Roman"/>
          <w:color w:val="000000"/>
          <w:sz w:val="28"/>
          <w:szCs w:val="28"/>
        </w:rPr>
        <w:t xml:space="preserve">; профессиональных и семейных ролей в соответствии с полом, предрассудки и сексизм); гендерные роли (основные характеристики, уровни изучения, </w:t>
      </w:r>
      <w:r w:rsidR="00EF3AA8">
        <w:rPr>
          <w:rFonts w:ascii="Times New Roman" w:hAnsi="Times New Roman"/>
          <w:color w:val="000000"/>
          <w:sz w:val="28"/>
          <w:szCs w:val="28"/>
        </w:rPr>
        <w:t xml:space="preserve">стереотипы гендерных ролей). </w:t>
      </w:r>
    </w:p>
    <w:p w:rsidR="00EF3AA8" w:rsidRDefault="00AD34FD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Раскрытие сущности гендерной социализации человека предполагает определение данного понятия с позиции его сторон, фаз, механизмов, факторов и условий, а также возрастных аспектов развития человека. Особое внимание уделяется </w:t>
      </w:r>
      <w:r w:rsidR="00F2035E">
        <w:rPr>
          <w:rFonts w:ascii="Times New Roman" w:hAnsi="Times New Roman"/>
          <w:color w:val="000000"/>
          <w:sz w:val="28"/>
          <w:szCs w:val="28"/>
        </w:rPr>
        <w:t xml:space="preserve">таким институтам гендерной социализации, как </w:t>
      </w:r>
      <w:r>
        <w:rPr>
          <w:rFonts w:ascii="Times New Roman" w:hAnsi="Times New Roman"/>
          <w:color w:val="000000"/>
          <w:sz w:val="28"/>
          <w:szCs w:val="28"/>
        </w:rPr>
        <w:t>семь</w:t>
      </w:r>
      <w:r w:rsidR="00F2035E">
        <w:rPr>
          <w:rFonts w:ascii="Times New Roman" w:hAnsi="Times New Roman"/>
          <w:color w:val="000000"/>
          <w:sz w:val="28"/>
          <w:szCs w:val="28"/>
        </w:rPr>
        <w:t xml:space="preserve">я, игрушки, группа сверстников, телевизионные передачи (сказки, мультфильмы и кино) и средства массовой информации, в том числе реклама и Интернет. </w:t>
      </w:r>
    </w:p>
    <w:p w:rsidR="0052447C" w:rsidRDefault="003A70B8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Специфика гендерных отношений человека анализируется с позиции понятия и уровней рассмотрения, взаимодействия с явлениями гендерной идеологии, внутригруппового фаворитизма и межгрупповой дискриминации, гендерных установок на уровне межличностного взаимодействия, а также сущности и видов гендерных конфликтов между людьми на различных уровнях взаимодействия (макроуровень, уровень межличностных отношений и индивидуальный уровень). 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F7405A"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 w:rsidR="00F740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(по дидактическому назначению);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F7405A"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5668D2" w:rsidRPr="00321A77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(иллюстрация). </w:t>
      </w:r>
    </w:p>
    <w:p w:rsidR="005668D2" w:rsidRPr="00321A77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проектор).</w:t>
      </w:r>
      <w:bookmarkStart w:id="0" w:name="_GoBack"/>
      <w:bookmarkEnd w:id="0"/>
    </w:p>
    <w:sectPr w:rsidR="005668D2" w:rsidRPr="004E7682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8D" w:rsidRDefault="00167F8D" w:rsidP="00CF7355">
      <w:pPr>
        <w:spacing w:after="0" w:line="240" w:lineRule="auto"/>
      </w:pPr>
      <w:r>
        <w:separator/>
      </w:r>
    </w:p>
  </w:endnote>
  <w:endnote w:type="continuationSeparator" w:id="0">
    <w:p w:rsidR="00167F8D" w:rsidRDefault="00167F8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4A8">
          <w:rPr>
            <w:noProof/>
          </w:rPr>
          <w:t>10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8D" w:rsidRDefault="00167F8D" w:rsidP="00CF7355">
      <w:pPr>
        <w:spacing w:after="0" w:line="240" w:lineRule="auto"/>
      </w:pPr>
      <w:r>
        <w:separator/>
      </w:r>
    </w:p>
  </w:footnote>
  <w:footnote w:type="continuationSeparator" w:id="0">
    <w:p w:rsidR="00167F8D" w:rsidRDefault="00167F8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74CAF"/>
    <w:rsid w:val="00083592"/>
    <w:rsid w:val="00104C6C"/>
    <w:rsid w:val="001129D3"/>
    <w:rsid w:val="00136B7E"/>
    <w:rsid w:val="001514A8"/>
    <w:rsid w:val="0016113C"/>
    <w:rsid w:val="00167F8D"/>
    <w:rsid w:val="001703A5"/>
    <w:rsid w:val="00180068"/>
    <w:rsid w:val="001E2B21"/>
    <w:rsid w:val="001E4271"/>
    <w:rsid w:val="002131C6"/>
    <w:rsid w:val="00237CC7"/>
    <w:rsid w:val="002648DD"/>
    <w:rsid w:val="002723AF"/>
    <w:rsid w:val="002749B5"/>
    <w:rsid w:val="002B5FA7"/>
    <w:rsid w:val="003042DE"/>
    <w:rsid w:val="00305C98"/>
    <w:rsid w:val="00321A77"/>
    <w:rsid w:val="0032418A"/>
    <w:rsid w:val="003314E4"/>
    <w:rsid w:val="00343793"/>
    <w:rsid w:val="003A70B8"/>
    <w:rsid w:val="003A7817"/>
    <w:rsid w:val="003E5209"/>
    <w:rsid w:val="003E6459"/>
    <w:rsid w:val="003F134A"/>
    <w:rsid w:val="004711E5"/>
    <w:rsid w:val="004C2B93"/>
    <w:rsid w:val="004E7682"/>
    <w:rsid w:val="004E77B0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6A55"/>
    <w:rsid w:val="005913A0"/>
    <w:rsid w:val="005F22C5"/>
    <w:rsid w:val="00616B40"/>
    <w:rsid w:val="006C3CB3"/>
    <w:rsid w:val="006D4761"/>
    <w:rsid w:val="006F4C7E"/>
    <w:rsid w:val="00710141"/>
    <w:rsid w:val="0071480C"/>
    <w:rsid w:val="0075623B"/>
    <w:rsid w:val="00774A23"/>
    <w:rsid w:val="0079716A"/>
    <w:rsid w:val="007A0E26"/>
    <w:rsid w:val="007D4A26"/>
    <w:rsid w:val="0080652D"/>
    <w:rsid w:val="008162F5"/>
    <w:rsid w:val="008306DC"/>
    <w:rsid w:val="00830A50"/>
    <w:rsid w:val="00837056"/>
    <w:rsid w:val="00897B33"/>
    <w:rsid w:val="008B3722"/>
    <w:rsid w:val="008F5E57"/>
    <w:rsid w:val="00951144"/>
    <w:rsid w:val="00985C92"/>
    <w:rsid w:val="00A45FDC"/>
    <w:rsid w:val="00A62A8C"/>
    <w:rsid w:val="00AC112D"/>
    <w:rsid w:val="00AD34FD"/>
    <w:rsid w:val="00AE75A9"/>
    <w:rsid w:val="00AE79A9"/>
    <w:rsid w:val="00AF1406"/>
    <w:rsid w:val="00B2092B"/>
    <w:rsid w:val="00BD661B"/>
    <w:rsid w:val="00BF3AF8"/>
    <w:rsid w:val="00BF7EC8"/>
    <w:rsid w:val="00C05E63"/>
    <w:rsid w:val="00C33FB9"/>
    <w:rsid w:val="00C34869"/>
    <w:rsid w:val="00C81D93"/>
    <w:rsid w:val="00CA1D28"/>
    <w:rsid w:val="00CB6B84"/>
    <w:rsid w:val="00CF7355"/>
    <w:rsid w:val="00D43C5D"/>
    <w:rsid w:val="00D4742B"/>
    <w:rsid w:val="00DA1FE4"/>
    <w:rsid w:val="00DC7027"/>
    <w:rsid w:val="00DD3C42"/>
    <w:rsid w:val="00DE36BC"/>
    <w:rsid w:val="00E61CD3"/>
    <w:rsid w:val="00E72595"/>
    <w:rsid w:val="00EB5723"/>
    <w:rsid w:val="00EF3AA8"/>
    <w:rsid w:val="00F156F8"/>
    <w:rsid w:val="00F2035E"/>
    <w:rsid w:val="00F251A8"/>
    <w:rsid w:val="00F7405A"/>
    <w:rsid w:val="00FA5D02"/>
    <w:rsid w:val="00FD268C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AFD0-C762-4B97-9199-2B1ACD76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69</cp:revision>
  <cp:lastPrinted>2019-02-05T10:00:00Z</cp:lastPrinted>
  <dcterms:created xsi:type="dcterms:W3CDTF">2019-01-24T12:19:00Z</dcterms:created>
  <dcterms:modified xsi:type="dcterms:W3CDTF">2019-05-04T15:23:00Z</dcterms:modified>
</cp:coreProperties>
</file>