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938"/>
      </w:tblGrid>
      <w:tr w:rsidR="00F97659" w:rsidRPr="007442E8" w:rsidTr="00937051">
        <w:tc>
          <w:tcPr>
            <w:tcW w:w="7230" w:type="dxa"/>
            <w:shd w:val="clear" w:color="auto" w:fill="auto"/>
          </w:tcPr>
          <w:p w:rsidR="00F97659" w:rsidRPr="005B4979" w:rsidRDefault="00F97659" w:rsidP="0093705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122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Lesson </w:t>
            </w:r>
            <w:r w:rsidR="00BD402D" w:rsidRP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BD402D"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F97659" w:rsidRPr="00C26267" w:rsidRDefault="00F97659" w:rsidP="00937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122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Topic</w:t>
            </w:r>
            <w:r w:rsidRPr="00694E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D402D" w:rsidRPr="00C93486">
              <w:rPr>
                <w:b/>
                <w:sz w:val="28"/>
                <w:szCs w:val="28"/>
                <w:lang w:val="en-US"/>
              </w:rPr>
              <w:t>Food Poisoning, Food poisoning prevention.</w:t>
            </w:r>
          </w:p>
          <w:p w:rsidR="00F97659" w:rsidRPr="00C26267" w:rsidRDefault="00F97659" w:rsidP="00937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Lesson o</w:t>
            </w:r>
            <w:r w:rsidRPr="00694E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bjective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="00BD402D" w:rsidRP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 gain knowledge on the etiology, pathogenesis, clinical manifestations of food poisoning, get acquainted with the methodology of the investigation of food poisoning.</w:t>
            </w:r>
          </w:p>
          <w:p w:rsidR="00F97659" w:rsidRDefault="00F9765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97659" w:rsidRDefault="00F9765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Self-study task</w:t>
            </w:r>
          </w:p>
          <w:p w:rsidR="00F7169D" w:rsidRPr="00F7169D" w:rsidRDefault="00F7169D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7169D" w:rsidRPr="00F7169D" w:rsidRDefault="00F9765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Classification of food poisonings.</w:t>
            </w:r>
          </w:p>
          <w:p w:rsidR="00F7169D" w:rsidRPr="00F7169D" w:rsidRDefault="005B497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Microbial Food Poisonings. </w:t>
            </w:r>
          </w:p>
          <w:p w:rsidR="00F7169D" w:rsidRPr="00F7169D" w:rsidRDefault="005B497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Mycotoxicosis</w:t>
            </w:r>
            <w:proofErr w:type="spellEnd"/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97659" w:rsidRDefault="005B497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F7169D" w:rsidRPr="00F716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Non</w:t>
            </w:r>
            <w:hyperlink r:id="rId6" w:tgtFrame="_blank" w:history="1">
              <w:r w:rsidR="00F7169D" w:rsidRPr="005B497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-</w:t>
              </w:r>
              <w:r w:rsidR="00F7169D" w:rsidRPr="00F7169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microbial Food Poisonings.</w:t>
              </w:r>
              <w:r w:rsidR="00F7169D" w:rsidRPr="005B497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5B4979" w:rsidRPr="00F7169D" w:rsidRDefault="005B4979" w:rsidP="00F7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97659" w:rsidRDefault="00F97659" w:rsidP="00937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Theoretical reference.</w:t>
            </w:r>
          </w:p>
          <w:p w:rsidR="00F7169D" w:rsidRPr="0061229E" w:rsidRDefault="00F7169D" w:rsidP="00937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B4979" w:rsidRPr="005B4979" w:rsidRDefault="00F97659" w:rsidP="00B54FB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4E4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="005B4979"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Food poisoning is an acute disorder resulting from ingestion of food contaminated by certain species of microorganisms, or food containing toxins of microbial or non-microbial nature.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Classification: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- microbial, (class I: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infectious and parasitic diseases, </w:t>
            </w:r>
            <w:hyperlink r:id="rId7" w:history="1">
              <w:r w:rsidRPr="005B497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ICD-10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codes -10 - A 00-B 99)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- non-microbial (class XIX: injuries, poisoning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consequences of other external effects,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heading:The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toxic effects of substances of mainly non-medicinal purpose; subheading: injuries, poisoning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consequences of other external effects </w:t>
            </w:r>
            <w:hyperlink r:id="rId8" w:history="1">
              <w:r w:rsidRPr="005B497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ICD-10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codes - T 51-T64)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unspecified etiology (class XIX injuries, poisoning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consequences of other external effects </w:t>
            </w:r>
            <w:hyperlink r:id="rId9" w:history="1">
              <w:r w:rsidRPr="005B4979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ICD-10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codes- T 65)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Food poisoning of bacterial nature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diseases caused by ingestion of food containing microbes and (or) their toxins, with more or less clinically apparent intoxication.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Toxicoinfections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are acute disorders caused by ingestion of food containing a large number (105-106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or more per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gr. or 1 mil of a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foodstuff) of pathogens and their toxins.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Characteristic features: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1. Sudden outbreak in a very short incubation period.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Almost all those who have consumed the same food get sick.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3. Direct connection of the disease with certain food consumed.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4. Territorial limitation of the disease.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5. Rapid decline of the outbreak after the elimination of the dangerous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product.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6. Mass character of the diseases, when the contaminated product is used centrally via public catering network.</w:t>
            </w:r>
          </w:p>
          <w:p w:rsid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54FB5" w:rsidRP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Bacterial intoxication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an acute disease, resulting from ingestion of food containing a toxin which has been accumulated as a result of activity of a certain pathogen.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However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,a</w:t>
            </w:r>
            <w:proofErr w:type="spellEnd"/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small quantity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viable cells of the pathogen itself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can be present or absent in the food.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Staphylococcal </w:t>
            </w:r>
            <w:proofErr w:type="spellStart"/>
            <w:proofErr w:type="gram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ICD-10 A05.0)- the pathogen is Staphylococcus aureus :5 enterotoxins. In humans,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Staphylococcus mainly colonizes the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epipharynx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 the larynx and the skin. Up to 40-50%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healthy people carry Staphylococcus. Staphylococcal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considered to be the reason of 21% of all food poisonings.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 poisoning can be caused by either food products or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ready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meals. If the carrier is an animal, the infection contaminates milk and meat. Enterotoxin which is produced by Staphylococcus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does not affect the taste of the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product. The incubation period is only 2 to 4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hours,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body temperature is normal or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subfebrile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. It is accompanied by nausea, vomiting and STOMACHACHE, general intoxication.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60 to 70 % of cases involve diarrhea. It normally takes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patients a day to recover, in other cases-up to 3 days.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 optimal temperature for the propagation of the infection has to be at least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22C°, at 12 to 15 C°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considerably slows down, and if the temperature drops to 4 to 6 C°-the temperature inside the refrigerator-it stops completely. The most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favourable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environment is milk and dairy products. At room temperature enterotoxins form in 8 hours.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Diary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products do not accumulate the toxin, since lactic acid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slows down the spread of Staphylococcus. Confectionery products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with custard, where the concentration of sugar is less than 50 %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(cakes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).The toxin does not form in butter cream where the concentration of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shuggar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60 % or more.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ground or boiled meat, the toxin forms in 14 to 26 hours, in cooked cutlets-in 3 hours.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Botulism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ICD-10 A05.1 (- Latin 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botulus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 a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sausage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) is caused by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 toxin produced by the bacterium Clostridium botulinum discovered by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Е. Van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Ermengem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1896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after an outbreak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of severe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poisoning resulting from eating ham 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There are 7 types of Clostridium botulinum- A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,B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C, D, E, F,G . The toxin is produced in any plant and animal products in air-free conditions. Clostridium botulinum is found in soil in the form of spores. Anaerobic conditions and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optiomal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temperature(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12-14°C) are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necessary for the spores to grow. Botulism normally occurs as a result of eating canned goods: pickled mushrooms dried and smoked fish, sausage etc. The incubation period can last 2-3 hours to 6-10 days. During the incubation period the toxin is absorbed and transported to the central nervous system, where an irreversible fixation of the poison occurs. 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fixed state the poison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can not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 neutralized in nervous cells even by a loading dose of antitoxin serum. Clinical picture: the onset of the disease is acute with nonspecific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symptoms(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weakness, headache, nausea, vomiting,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diarrhea.Specific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symptoms manifest themselves as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neuroparalytic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conditions resulting from bulbar nucleus disorder( salivary and lacrimal glands, facial and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epipharynx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). The initial symptoms: impairment of vision. The subsequent symptoms are paralysis of the tongue, the palate,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 larynx and speech,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disturbance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,tachycardia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. The body temperature is normal.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As a matter of fact, 4 forms can be distinguished: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1. Acute gastroenteritis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2. dyspeptically paralytic form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3.ophthalmologically paralytic form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4.asphyxic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forms.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Botulism occurs as a result of ingestion of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home made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canned goods, mainly mushrooms, occasionally stewed fruit and sausages.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Mycotoxicosis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(ICD-10 T64)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 of the most dangerous food contaminants found in natural conditions is a group of mycotoxins -highly toxic, mutagenic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and teratogenic secondary metabolites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mold fungi.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producers of mycotoxins </w:t>
            </w:r>
            <w:r w:rsidRPr="005B497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Aspergillus,</w:t>
            </w:r>
            <w:r w:rsidRPr="005B49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Penicillium</w:t>
            </w:r>
            <w:proofErr w:type="spellEnd"/>
            <w:r w:rsidRPr="005B49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 Fusarium.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Mycotoxins can penetrate the human body both with plant and animal products. They can also penetrate the body through food system, that is with milk, fish and meat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Mycotoxicosis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involves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fusariose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ergotism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Aflotoxins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the most dangerous: 20 compounds, and only 4 of them B1, B2, G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1 ,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G2 are main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producers:A.flavusuA.parasiticus.The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dissolubility of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aflotoxins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low and they are resistant to temperature treatments. They are broken up by direct sun light, chemical oxidants and when exposed to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alcaline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condition. The toxic effects: permeability impairment of the subcellular structure membranes, inhibition of DNA and RNA synthesis, mutagenic and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cancerigenic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activity.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Food contaminated by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aflotoxins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 cause acute or chronic intoxication,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well as distant effects including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honadotoxic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embriotoxic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teratogenic, mutagenic,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cancerigenic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effects.</w:t>
            </w:r>
          </w:p>
          <w:p w:rsid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mainly targets the liver, leading to toxic hepatitis, in the case of chronic intoxication,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cirrhosis or lever cancer develops. Chronic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aflotoxicosis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characterized by a significant immunosuppressive effect; both cell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humoral immunity are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inhibited. Fungus growth and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aflotoxin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production mainly occurs in corn, peanut, rice, beans, cacao seeds, and coffee beans.</w:t>
            </w:r>
          </w:p>
          <w:p w:rsid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54FB5" w:rsidRP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Fusarium disease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caused by Fusarium fungi. It includes alimentary toxic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aleukia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drunk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bread”poisoning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Alimentary toxic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aleukia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develops as a result of ingestion of grain that has overwintered in the field.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Fusarium fungi produces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thermotolerant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toxin which can resist the temperature of 120°C for 2 hours.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signs: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stage 1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.The onset of the disease is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gradual,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starts with the symptoms of catarrhal tonsillitis,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mild gastritis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reduced general condition. Then blood change takes over-there is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decrease in the number of white blood cells down to 3000-4000,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down to 800 in 3 mm of blood, then it decreases by 10 times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leucopenic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stage.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Next ,the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number of white blood cells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drops down to 400-200. There is a sharp decrease 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amount of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hemoglobin .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Stage 2 -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anginally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hemorrhagic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character of the disease becomes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severe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,hemorrhagic</w:t>
            </w:r>
            <w:proofErr w:type="spellEnd"/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rash appears on the skin, a severe necrotic process spreads out onto the tonsils, the arches, the uvula and the pharyngeal ring.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2."Drunken bread" poisoning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results from ingestion of products made from various types of grain contaminated by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Fusariumgraminearum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 fungus.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Clinical signs: The disease manifests itself as a nervous system disorder, since the toxin has a neurotropic action. The poisoning symptoms are similar the symptoms of alcohol intoxication. The disease is also accompanied by loss of coordination, spasmodic stricture, anemia and mental disorders.</w:t>
            </w:r>
          </w:p>
          <w:p w:rsid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Еrgotism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 poisoning resulting from eating products having ergot bodies in them, that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fungus mycelium.</w:t>
            </w:r>
          </w:p>
          <w:p w:rsidR="00B54FB5" w:rsidRPr="00B54FB5" w:rsidRDefault="00B54FB5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Forms: 1. Convulsive 2. Gangrenous 3. Mixed.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form 1 the gastro-intestinal tract and the nervous system are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targeted. This form is characterized by the following symptoms: excessive salivation,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nausea, vomiting,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stomach cramps,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tonic seizures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all the muscles, somnolence,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around the nerve-roots. Severe cases include hallucinations, disorders of consciousness and mental activity,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mania .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form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2 Vascular innervation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affected. It is accompanied by cyanosis, limb pains, finger and leg necrosis, which later spreads onto the face and chest. The necrosis is similar to dry gangrene when the dead tissue falls off.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Non -microbial food poisoning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1.Mushroom poisoning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Mushroom poisoning has a seasonal character, either summer or autumn.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most severe intoxication leading to multi-organ failure is caused by deadly amanita, sulfur-tuft and different species of fly-agaric. Eating conditionally edible mushrooms without special treatment, such as milk mushrooms and fleecy milk-caps, can cause the symptoms of acute gastroenteritis; morels and false morels which contain helvellic acid, can cause acute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hematocytolysis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Edible mushroom that grow under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unfavourable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ecological conditions, close to industrial facilities, chemical plants and highways for instance, may obtain toxic properties. In these conditions mushrooms start to store up high concentration of mercury, cadmium etc.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Deadly amanita and other species of poisonous mushrooms related to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contain highly toxic compounds-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amanitotoxins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Just a small piece of a mushroom like that is enough to cause severe intoxication.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Amanitotoxins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take a marked toxic effect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24 to 48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hours.If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effects of the intoxication grow stronger,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multi-organ failure develops. The first intoxication symptom to appear is acute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gastrointeritis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Early detection of the deadly intoxication is difficult. The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desease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start in 4 to 8 hours accommodations accompanied by stomach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cramps, nausea, incoercible vomiting and loose stool. The urge to defecate can reach 20 to 25 times a day.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presence of vomit that resembles coffee grounds and blood admixtures in the feces accompanied by cholera-like stool are typical for deadly amanita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intoxication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.The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changes in the central nervous system initially manifests themselves as agitation and motor anxiety.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case of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hepatorenal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failure,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soporose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 develops, which ends in coma. The affection of the cardiovascular system manifests itself as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hypotony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tachycardia. At an early stage functional oliguria and encephalopathy develop. The level of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enzymes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nitrogenous matter in the blood increases by 7 to 10. Children and elderly people suffer most, since their bodies are sensitive to water- electrolytic imbalance.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result of acute gastroenteritis. The patients die, as a rule, because of acute heart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failure associated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increasing intoxication 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The poisoning caused by products of plant and animal origin, which become toxic under certain conditions: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-kernels of drupaceous fruit( Hydrocyanic acid is formed upon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hydrolysis of amygdalin );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-nuts (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fungin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 which decomposes during roasting);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-sprouted (green) potato (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solanine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kidney beans contain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phasin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fish roe, milt liver (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burbot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, pike, mackerel etc.) during spawning;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Pesticide poisoning, salts of heavy metal(lead,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Zink, copper etc.); chemical compounds, which products intake from packing materials(plastic), from the surrounding medium(water, soil) </w:t>
            </w:r>
          </w:p>
          <w:p w:rsidR="00F97659" w:rsidRPr="00F17C9A" w:rsidRDefault="00F97659" w:rsidP="009370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F97659" w:rsidRPr="00F97659" w:rsidRDefault="00F97659" w:rsidP="009370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5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7659" w:rsidRPr="00F97659" w:rsidRDefault="00F97659" w:rsidP="0093705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Гигиенические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питанию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  <w:p w:rsidR="00F97659" w:rsidRPr="005B4979" w:rsidRDefault="00F97659" w:rsidP="005B497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6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этиологии, патогенезе, клинических проявлениях пищевых отравлений, ознакомиться с методикой расследования пищевых отравлений.</w:t>
            </w:r>
          </w:p>
          <w:p w:rsidR="00F7169D" w:rsidRPr="005B4979" w:rsidRDefault="00F7169D" w:rsidP="005B497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659" w:rsidRPr="005B4979" w:rsidRDefault="00F97659" w:rsidP="009370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для рассмотрения: </w:t>
            </w:r>
          </w:p>
          <w:p w:rsidR="00F7169D" w:rsidRPr="005B4979" w:rsidRDefault="00F7169D" w:rsidP="009370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4979" w:rsidRPr="005B4979" w:rsidRDefault="00F97659" w:rsidP="005B49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B4979"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пищевых отравлений.</w:t>
            </w:r>
          </w:p>
          <w:p w:rsidR="005B4979" w:rsidRPr="005B4979" w:rsidRDefault="005B4979" w:rsidP="005B49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Пищевые отравления микробной природы.</w:t>
            </w:r>
          </w:p>
          <w:p w:rsidR="005B4979" w:rsidRPr="005B4979" w:rsidRDefault="005B4979" w:rsidP="005B49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Микотоксикозы</w:t>
            </w:r>
            <w:proofErr w:type="spellEnd"/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7659" w:rsidRDefault="005B4979" w:rsidP="005B49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Пищевые отравления немикробной природы.</w:t>
            </w:r>
          </w:p>
          <w:p w:rsidR="005B4979" w:rsidRPr="005B4979" w:rsidRDefault="005B4979" w:rsidP="009370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4979" w:rsidRDefault="005B4979" w:rsidP="009370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Теоретический материал</w:t>
            </w:r>
          </w:p>
          <w:p w:rsidR="005B4979" w:rsidRPr="005B4979" w:rsidRDefault="005B4979" w:rsidP="0093705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4979" w:rsidRPr="005B4979" w:rsidRDefault="00F97659" w:rsidP="005B497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B4979" w:rsidRPr="005B4979">
              <w:rPr>
                <w:rFonts w:ascii="Times New Roman" w:hAnsi="Times New Roman"/>
                <w:b/>
                <w:sz w:val="24"/>
                <w:szCs w:val="24"/>
              </w:rPr>
              <w:t>Классификация: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5B4979">
              <w:rPr>
                <w:rFonts w:ascii="Times New Roman" w:hAnsi="Times New Roman"/>
                <w:sz w:val="24"/>
                <w:szCs w:val="24"/>
                <w:u w:val="single"/>
              </w:rPr>
              <w:t>микробные,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(класс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Инфекционные и паразитарные заболевания, коды по МКБ-10 - А 00-В 99)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5B4979">
              <w:rPr>
                <w:rFonts w:ascii="Times New Roman" w:hAnsi="Times New Roman"/>
                <w:sz w:val="24"/>
                <w:szCs w:val="24"/>
                <w:u w:val="single"/>
              </w:rPr>
              <w:t>немикробные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(класс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Травмы и отравления и некоторые другие последствия воздействия внешних причин, рубрика Токсическое действие веще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>еимущественно немедицинского назначения, подрубрика Травмы и отравления и некоторые другие последствия воздействия внешних причин код по МКБ-10 - Т 51-Т64)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r w:rsidRPr="005B4979">
              <w:rPr>
                <w:rFonts w:ascii="Times New Roman" w:hAnsi="Times New Roman"/>
                <w:sz w:val="24"/>
                <w:szCs w:val="24"/>
                <w:u w:val="single"/>
              </w:rPr>
              <w:t>неуточненной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этиологии (класс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Травмы и отравления и некоторые другие последствия воздействия внешних причин код по МКБ-10 - Т 65)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Пищевыми отравлениями бактериальной природы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являются заболевания, которые возникают только после употребления пищи, содержащей живые микробы и (или) их токсины, и клинически протекающие с более или менее выраженными явлениями токсикоза организма.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Токсикоинфекции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– это острые заболевания, возникающие при употреблении пищи, содержащие большое количество (10</w:t>
            </w:r>
            <w:r w:rsidRPr="005B497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-10</w:t>
            </w:r>
            <w:r w:rsidRPr="005B497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и более на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lastRenderedPageBreak/>
              <w:t>1 гр. или 1 мл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родукта) живых возбудителей и их токсинов.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>Характерные признаки: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1. Внезапное развитие вспышки при очень коротком инкубационном периоде.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2. Почти одновременное заболевание всех потребляющих одну и ту же пищу.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3. Выраженная связь заболеваний с употреблением определенной пищи.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4. Территориальная ограниченность заболеваний.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5. Быстрое прекращение вспышки после изъятия опасного продукта.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6. Массовый характер заболеваний, когда обсемененный продукт использован централизованно, через сеть общественного питания.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Бактериальные интоксикации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– острое заболевание, возникающие при употреблении пищи содержащий токсин, накопившейся в результате развития специфического возбудителя. При этом жизнеспособные клетки самого возбудителя могут отсутствовать или обнаруживаться в пище в незначительном количестве.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>СТАФИЛОКОККОВЫЙ ТОКСИКОЗ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(код по МКБ-10 А05.0) – возбудитель золотистый стафилококк: 5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энтеротоксинов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. Основной природный резервуар стафилококков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/носоглотка, гортань, кожа/. До 40-50% практически здоровых людей являются носителями стафилококков. Считают, что стафилококковые токсикозы являются причиной почти 21% всех пищевых отравлений.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Причиной могут быть как исходные пищевые продукты, так и готовые кулинарные изделия. Если источником возбудителей являются животные, то загрязняются, как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молоко (мастит) и мясо.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Вырабатываемый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стафилококками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энтеротоксин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не влияет на вкусовые качества продукта.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Инкубационный период чаще всего 2-4 часа,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тела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нормальная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или субфебрильная. Тошнота, рвота, боли в животе. В 60-70% -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диаррея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Явление общей интоксикации. Выздоровление через сутки, реже 2-3 дня.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lastRenderedPageBreak/>
              <w:t>Оптимальная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для размножения – не ниже 22С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>, при 12-15С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размножение резко замедляется, а в условиях холодильника 4-6С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прекращается. Самая благоприятная среда – молоко и молочные продукты.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комнатной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 молоке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энтеротоксины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образуются уже через 8 часов. В молочнокислых продуктах токсин не накапливается, т.к. молочная кислота тормозит развитие стафилококка. Кондитерские изделия с заварным кремом, где концентрация сахара менее 50% (торты, пирожные.). В сливочных и масляных кремах, где сахар 60% и более, токсин не образуется. В мясном фарше и вареном мясе токсин образуется через 14-26 часов, а в готовых котлетах уже через 3 часа.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>БОТУЛИЗМ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(код по МКБ-10 А05.1)– от лат. «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botulus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» – колбаса. Возбудитель –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Botulinum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выделен Э.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Ванэрменгемом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 1896г. в Голландии после вспышки тяжелого отравления, связанного с ветчиной.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Существуют 7 типов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Botulinum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– А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,В,С,Д,Е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Токсин образуется в любых продуктах растительного и животного происхождения при полном отсутствии воздуха.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Botulinum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 виде спор находится в почве. Для прорастания спор нужны анаэробные условия и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оптимальная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12-14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>С. Ботулизм обычно возникает при употреблении в пищу консервированных продуктов: соленых и маринованных грибов, вяленой и копченой рыбы, колбасы и пр. Инкубационный период от 2-3 часов до 6-10 суток. Инкубационный период токсин всасывается и мигрирует в ЦНС, где происходит необратимая фиксация яда. В фиксированном состоянии в нервных клетках яд может быть нейтрализован даже массивными дозами антитоксической сыворотки. Клиника: начало острое с появлением неспецифической симптоматики (слабость, головная боль, тошнота, рвота, понос). Специфические симптомы – нервн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паралитические явления как результат расстройства деятельности бульбарных нервных центров (слюнные, слезные железы, мышцы носоглотки, лица). Из ранних симптомов: расстройства зрения. Дальние – паралич мягкого неба, языка, глотки, расстройства речи,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тела нормальная, тахикардия.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Вообще можно выделить 4 формы: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2"/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ботулиновый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2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острый гастроэнтерит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диспепсическо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– паралитическая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офтальмопаралитическая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асфиксическая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Ботулизм возникает при употреблении консервов домашнего приготовления, чаще всего грибов (до 70%), реже компотов, а также колбас, окороков при не соблюдении технологии изготовления.</w:t>
            </w:r>
          </w:p>
          <w:p w:rsidR="00B54FB5" w:rsidRDefault="00B54FB5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FB5" w:rsidRDefault="00B54FB5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79" w:rsidRP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МИКОТОКСИКОЗЫ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(код по МКБ-10 – Т64)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Из особо опасных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контаминатов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пищевых продуктов, встречающихся в естественных условиях, выделяют группу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микотоксинов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, вторичных метаболитов плесневых грибов, отличающихся высокой токсичностью, а также мутагенным, тератогенным и канцерогенными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Продуцентами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микотоксинов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являются грибы рода (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аспергиллиус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пенициллиниум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фузариум).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Микотоксины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могут проникать в организм человека как с продуктами растительного и животного происхождения, но и через систему пищевых цепей, т.е. с молоком, рыбой и мясом.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микотоксикозам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относятся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афлатоксикоз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фузариотоксикоз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и эрготизм.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Наиболее опасны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афлатоксины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: 20 соединений, и только 4 из них В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В2,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2- основные, главные продуценты: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fl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vus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parasiticus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Растворимость в воде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афлатоксинов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низкая,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устойчивы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при термической обработке. Разрушается под действием солнечного света, химических окислителей и в щелочной среде. Механические токсические действия: нарушение проницаемости мембран субклеточных структур подавление синтеза ДНК и РНК, мутагенная и канцерогенная активность. Пища, загрязненная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афлатоксинами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способна вызывать острую и хроническую интоксикацию, а также отдаленные эффекты, в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гонадотоксическое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эмбриотоксическое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тератогенное, мутагенное и канцерогенное действие.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афлатоксикозе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главным органом – мишенью является печень, развивается токсический гепатит, при хронической интоксикации - цирроз, рак печени. При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хроническом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афлатоксикозе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выражено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иммунодепрессивное действие, подавляется как клеточный, так и гуморальный иммунитет. Развитие грибков и продуцирование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афлатоксина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чаще происходит в кукурузе,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орахисе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, рисе, бобовых, в зернах какао, кофе.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ab/>
              <w:t>ФУЗАРИОЗЫ –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вызываются грибками рода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</w:t>
            </w:r>
            <w:proofErr w:type="spellEnd"/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rium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включают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алиментарно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- токсическую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алейкию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и отравление « пьяным хлебом».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1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. Алиментарно-токсическая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алейкия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(септическая ангина) - развивается при употреблении в пищу хлеба из перезимовавших в поле злаковых культур.</w:t>
            </w:r>
            <w:r w:rsidR="00B54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При жизнедеятельности гриба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Fusari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г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накапливается термоустойчивое токсическое вещество, не разрушаясь при 120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B49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 течении 2 часов.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Клиника: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1 стадия.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Заболевание возникает постепенно с явлений катаральной ангины и легкого гастрита с незначительным нарушением общего состояния. Затем на первый план выходит изменение со стороны крови – падение лейкоцитов до 3000-4000, а затем до 800 в мм3 крови / в 10 раз / - это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лейкопеничесая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стадия. Далее содержание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снижается до 400-200. Резко понижается количество гемоглобина.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2 стадия - ангинозн</w:t>
            </w:r>
            <w:proofErr w:type="gram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геморрагическая.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Заболевание приобретает тяжелый характер, на коже появляется геморрагическая сыпь, тяжелая некротический процесс распространяется на миндалины, дужки, язычок и все глоточное кольцо.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Отравление </w:t>
            </w: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sym w:font="Symbol" w:char="F0B2"/>
            </w: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>пьяным хлебом</w:t>
            </w:r>
            <w:r w:rsidRPr="005B4979">
              <w:rPr>
                <w:rFonts w:ascii="Times New Roman" w:hAnsi="Times New Roman"/>
                <w:sz w:val="24"/>
                <w:szCs w:val="24"/>
              </w:rPr>
              <w:sym w:font="Symbol" w:char="F0B2"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возникает в результате употребления в пищу изделий из различных видов зерна, пораженного микроскопическим грибком </w:t>
            </w:r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Fusarium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  <w:lang w:val="en-US"/>
              </w:rPr>
              <w:t>graminearum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Клиника: Заболевание проявляется расстройством со стороны нервной системы, так как токсин обладает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нейротропным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действием. Симптомы отравления сходны с явлением алкогольного опьянения. Отмечается нарушение координации движения, судороги, развитие анемии и нервных расстройств.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>ЭРГОТИЗМ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– отравление продуктами, содержащими в качестве примеси спорынью. Чаще это - хлебные изделия из зерна и муки, содержащие рожки спорыньи, т.е. мицелии гриба.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Формы: 1. Конвульсивная. 2. Гангренозная. 3. Смешанная.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>При 1 форме поражается желудочно-кишечный тракт и нервная система. Для этой формы характерно: слюнотечение, тошнота, рвота, колики в животе, сонливость, тонические судороги всех мышц, боли в области корешков нервов. В тяжелых случаях наблюдается галлюцинации, расстройства сознания и психической деятельности /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депрессивно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-маниакальное состояние/. При 2 форме – гангренозной, поражается иннервация сосудов. Отмечается цианоз, боли в конечностях, некроз на пальцах рук, ног, позже на лице, груди. Некрозы протекают по типу сухой гангрены с отпадением омертвевших тканей.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979" w:rsidRDefault="005B4979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НЕМИКРОБНЫЕ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ПИЩЕВЫЕ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ОТРАВЛЕНИЯ</w:t>
            </w:r>
          </w:p>
          <w:p w:rsidR="00B54FB5" w:rsidRPr="005B4979" w:rsidRDefault="00B54FB5" w:rsidP="005B49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979" w:rsidRPr="005B4979" w:rsidRDefault="005B4979" w:rsidP="005B4979">
            <w:pPr>
              <w:pStyle w:val="1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5B4979">
              <w:rPr>
                <w:sz w:val="24"/>
                <w:szCs w:val="24"/>
              </w:rPr>
              <w:t>1. ОТРАВЛЕНИЯ</w:t>
            </w:r>
            <w:r>
              <w:rPr>
                <w:sz w:val="24"/>
                <w:szCs w:val="24"/>
              </w:rPr>
              <w:t xml:space="preserve"> </w:t>
            </w:r>
            <w:r w:rsidRPr="005B4979">
              <w:rPr>
                <w:sz w:val="24"/>
                <w:szCs w:val="24"/>
              </w:rPr>
              <w:t>ГРИБАМИ.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Отравления грибами ежегодно носят выраженный сезонный характер – летне-осенний период. Наиболее тяжелая интоксикация с развитием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недостаточности возникает при отравлениях бледной поганкой, ложными опятами и различными видами мухоморов. Употребление в пищу без специальной обработки условно съедобных грибов – груздей, скрипицы может вызывать симптомы острого гастроэнтерита, а сморчков и строчков, содержащих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гельвеловую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кислоту – острого гемолиза. Съедобные грибы при неблагоприятных экологических условиях могут приобретать токсические свойства, если вырастают вблизи промышленных объектов, химических комбинатов, автомобильных трасс. В этих условиях грибы накапливают в высоких концентрациях ртуть, свинец, кадмий и др.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Бледная поганка и близкие к ней виды ядовитых грибов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 содержат чрезвычайно токсичные соединения: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аманитотоксины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. Для развития тяжелой интоксикации достаточно съесть хотя бы малую часть такого гриба.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Аманитотоксины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действуют через 24-48 часов, у них выраженный токсический эффект. При явлениях нарастающей интоксикации развивается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полиорганная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патология. Первым симптомом отравления является острый гастроэнтерит. Ранняя диагностика самого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lastRenderedPageBreak/>
              <w:t>опасного для жизни отравления бледной поганкой – трудна. Заболевание начинается через 4-8 часов со спастических болей по всему животу, тошноты, неукротимой рвоты, частого жидкого стула. Частота стула достигает 20-25 раз в сутки.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ab/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Появление рвоты типа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sym w:font="Symbol" w:char="F0B2"/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кофейной гущи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sym w:font="Symbol" w:char="F0B2"/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и примесь крови в кале при </w:t>
            </w:r>
            <w:proofErr w:type="spellStart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холероподобном</w:t>
            </w:r>
            <w:proofErr w:type="spellEnd"/>
            <w:r w:rsidRPr="005B4979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характере стула типично для отравлений бледной поганкой.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Изменение со стороны ЦНС в начальном периоде проявляется взволнованностью, двигательным беспокойством. При явлениях печеночно-почечной недостаточности развивается сопорозное состояние, переходящее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кому. Поражение сердечно – сосудистой системы проявляется гипотонией, тахикардией. На ранних этапах – функциональная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олигурия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энцефалопатия. В крови в 7-10 раз повышается уровень ферментов, азотистых веществ. Наиболее тяжело переносят дети, люди преклонного возраста из-за чувствительности организма к водно-электролитным нарушениям вследствие острого гастроэнтерита. Эти больные, как правило, погибают от острой </w:t>
            </w:r>
            <w:proofErr w:type="gramStart"/>
            <w:r w:rsidRPr="005B4979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 недостаточности на фоне нарастающей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sz w:val="24"/>
                <w:szCs w:val="24"/>
              </w:rPr>
              <w:t xml:space="preserve">интоксикации.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Отравления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съедобными продуктами растительного и животного происхождения, приобретающими ядовитые свойства при определенных условиях: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>- ядра косточковых плодов (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амигдалин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 xml:space="preserve">, при расщеплении которого образуется синильная кислота);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>- орехи (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фангин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, который при жарении орехов разрушается);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- проросший (зеленый) картофель (соланин); 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 xml:space="preserve">- бобы фасоли содержат </w:t>
            </w:r>
            <w:proofErr w:type="spellStart"/>
            <w:r w:rsidRPr="005B4979">
              <w:rPr>
                <w:rFonts w:ascii="Times New Roman" w:hAnsi="Times New Roman"/>
                <w:sz w:val="24"/>
                <w:szCs w:val="24"/>
              </w:rPr>
              <w:t>фазин</w:t>
            </w:r>
            <w:proofErr w:type="spellEnd"/>
            <w:r w:rsidRPr="005B49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>- икра, молоки, печень рыб (налим, щука, скумбрия и др.) в период нереста;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79">
              <w:rPr>
                <w:rFonts w:ascii="Times New Roman" w:hAnsi="Times New Roman"/>
                <w:sz w:val="24"/>
                <w:szCs w:val="24"/>
              </w:rPr>
              <w:tab/>
              <w:t>- пчелиный мед, содержащий ядовитый нектар растений.</w:t>
            </w:r>
          </w:p>
          <w:p w:rsidR="005B4979" w:rsidRPr="005B4979" w:rsidRDefault="005B4979" w:rsidP="005B49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gramStart"/>
            <w:r w:rsidRPr="005B4979">
              <w:rPr>
                <w:rFonts w:ascii="Times New Roman" w:hAnsi="Times New Roman"/>
                <w:b/>
                <w:bCs/>
                <w:sz w:val="24"/>
                <w:szCs w:val="24"/>
              </w:rPr>
              <w:t>Отравления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4979">
              <w:rPr>
                <w:rFonts w:ascii="Times New Roman" w:hAnsi="Times New Roman"/>
                <w:b/>
                <w:sz w:val="24"/>
                <w:szCs w:val="24"/>
              </w:rPr>
              <w:t>пестицидами, солями тяжелых металлов (свинец, цинк, медь и т.д.) и соединениями, мигрирующими в продукт питания из тары, упаковочных материалов (пластмассы), из окружающей среды (почва, вода).</w:t>
            </w:r>
            <w:proofErr w:type="gramEnd"/>
          </w:p>
          <w:p w:rsidR="00F97659" w:rsidRPr="00AA1C0C" w:rsidRDefault="00F97659" w:rsidP="009370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CC3" w:rsidRDefault="00211CC3">
      <w:bookmarkStart w:id="0" w:name="_GoBack"/>
      <w:bookmarkEnd w:id="0"/>
    </w:p>
    <w:sectPr w:rsidR="00211CC3" w:rsidSect="00F97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1B6"/>
    <w:multiLevelType w:val="hybridMultilevel"/>
    <w:tmpl w:val="C4D8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87C44"/>
    <w:multiLevelType w:val="hybridMultilevel"/>
    <w:tmpl w:val="5B7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17B7"/>
    <w:multiLevelType w:val="hybridMultilevel"/>
    <w:tmpl w:val="2E560B12"/>
    <w:lvl w:ilvl="0" w:tplc="63182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1668"/>
    <w:multiLevelType w:val="hybridMultilevel"/>
    <w:tmpl w:val="99EA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E1AF6"/>
    <w:multiLevelType w:val="multilevel"/>
    <w:tmpl w:val="0134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E3B7E"/>
    <w:multiLevelType w:val="hybridMultilevel"/>
    <w:tmpl w:val="2E560B12"/>
    <w:lvl w:ilvl="0" w:tplc="63182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C2A30"/>
    <w:multiLevelType w:val="hybridMultilevel"/>
    <w:tmpl w:val="7BD8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9"/>
    <w:rsid w:val="00125904"/>
    <w:rsid w:val="00211CC3"/>
    <w:rsid w:val="005B4979"/>
    <w:rsid w:val="00B54FB5"/>
    <w:rsid w:val="00BD402D"/>
    <w:rsid w:val="00CD68F3"/>
    <w:rsid w:val="00F7169D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4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71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6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765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976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9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F97659"/>
    <w:rPr>
      <w:b/>
      <w:bCs/>
    </w:rPr>
  </w:style>
  <w:style w:type="character" w:customStyle="1" w:styleId="apple-converted-space">
    <w:name w:val="apple-converted-space"/>
    <w:basedOn w:val="a0"/>
    <w:rsid w:val="00F97659"/>
  </w:style>
  <w:style w:type="character" w:customStyle="1" w:styleId="articleseparator">
    <w:name w:val="article_separator"/>
    <w:basedOn w:val="a0"/>
    <w:rsid w:val="00F97659"/>
  </w:style>
  <w:style w:type="paragraph" w:customStyle="1" w:styleId="txt">
    <w:name w:val="txt"/>
    <w:basedOn w:val="a"/>
    <w:rsid w:val="00F9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rsid w:val="00F716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4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4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71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6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765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F976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9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F97659"/>
    <w:rPr>
      <w:b/>
      <w:bCs/>
    </w:rPr>
  </w:style>
  <w:style w:type="character" w:customStyle="1" w:styleId="apple-converted-space">
    <w:name w:val="apple-converted-space"/>
    <w:basedOn w:val="a0"/>
    <w:rsid w:val="00F97659"/>
  </w:style>
  <w:style w:type="character" w:customStyle="1" w:styleId="articleseparator">
    <w:name w:val="article_separator"/>
    <w:basedOn w:val="a0"/>
    <w:rsid w:val="00F97659"/>
  </w:style>
  <w:style w:type="paragraph" w:customStyle="1" w:styleId="txt">
    <w:name w:val="txt"/>
    <w:basedOn w:val="a"/>
    <w:rsid w:val="00F9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rsid w:val="00F716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4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/c/m.exe?t=5840547_1_2&amp;s1=%EC%E5%E6%E4%F3%ED%E0%F0%EE%E4%ED%E0%FF%20%EA%EB%E0%F1%F1%E8%F4%E8%EA%E0%F6%E8%FF%20%E1%EE%EB%E5%E7%ED%E5%E9%20%E4%E5%F1%FF%F2%EE%E3%EE%20%EF%E5%F0%E5%F1%EC%EE%F2%F0%E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ltitran.ru/c/m.exe?t=5840547_1_2&amp;s1=%EC%E5%E6%E4%F3%ED%E0%F0%EE%E4%ED%E0%FF%20%EA%EB%E0%F1%F1%E8%F4%E8%EA%E0%F6%E8%FF%20%E1%EE%EB%E5%E7%ED%E5%E9%20%E4%E5%F1%FF%F2%EE%E3%EE%20%EF%E5%F0%E5%F1%EC%EE%F2%F0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therheadfood.com/micro-for-non-mic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ru/c/m.exe?t=5840547_1_2&amp;s1=%EC%E5%E6%E4%F3%ED%E0%F0%EE%E4%ED%E0%FF%20%EA%EB%E0%F1%F1%E8%F4%E8%EA%E0%F6%E8%FF%20%E1%EE%EB%E5%E7%ED%E5%E9%20%E4%E5%F1%FF%F2%EE%E3%EE%20%EF%E5%F0%E5%F1%EC%EE%F2%F0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ОрГМА</cp:lastModifiedBy>
  <cp:revision>3</cp:revision>
  <dcterms:created xsi:type="dcterms:W3CDTF">2015-10-30T08:54:00Z</dcterms:created>
  <dcterms:modified xsi:type="dcterms:W3CDTF">2015-10-30T09:27:00Z</dcterms:modified>
</cp:coreProperties>
</file>