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89" w:rsidRPr="00D20F3E" w:rsidRDefault="00AE5789" w:rsidP="00AE5789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8E38FE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bookmarkStart w:id="0" w:name="_GoBack"/>
      <w:bookmarkEnd w:id="0"/>
    </w:p>
    <w:p w:rsidR="00AE5789" w:rsidRDefault="00AE5789" w:rsidP="00AE5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</w:rPr>
        <w:t>Производственная вибрация, ее влияние на организм, меры профилактики.</w:t>
      </w:r>
    </w:p>
    <w:p w:rsidR="00AE5789" w:rsidRPr="00E819BC" w:rsidRDefault="00AE5789" w:rsidP="00AE5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789" w:rsidRPr="00F82509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физической и гигиенической характеристикой </w:t>
      </w:r>
      <w:r>
        <w:rPr>
          <w:rFonts w:ascii="Times New Roman" w:hAnsi="Times New Roman"/>
          <w:sz w:val="24"/>
          <w:szCs w:val="24"/>
          <w:lang w:eastAsia="ar-SA"/>
        </w:rPr>
        <w:t>вибрации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, биологическим влиянием </w:t>
      </w:r>
      <w:r>
        <w:rPr>
          <w:rFonts w:ascii="Times New Roman" w:hAnsi="Times New Roman"/>
          <w:sz w:val="24"/>
          <w:szCs w:val="24"/>
          <w:lang w:eastAsia="ar-SA"/>
        </w:rPr>
        <w:t>вибрации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 на организм, мерами профилактики. 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E5789" w:rsidRPr="00D20F3E" w:rsidRDefault="00AE5789" w:rsidP="00AE57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источниках вибрации на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производстве,  </w:t>
      </w:r>
      <w:r>
        <w:rPr>
          <w:rFonts w:ascii="Times New Roman" w:hAnsi="Times New Roman"/>
          <w:color w:val="000000"/>
          <w:sz w:val="24"/>
          <w:szCs w:val="24"/>
        </w:rPr>
        <w:t>охарактеризовать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виды производственной вибрации, раскрыть механизм ее действия на организм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E5789" w:rsidRPr="00D20F3E" w:rsidRDefault="00AE5789" w:rsidP="00AE57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работы с виброизмерительной аппаратурой, овладеть методикой проведения измерения производственной вибрации,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AE5789" w:rsidRDefault="00AE5789" w:rsidP="00AE57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уровней вибрации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Вибрация, понятие, классификация. Источники вибрации на производстве.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Гигиеническая характеристика вибрации.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Особенности биологического действия вибрации. Вибрационная болезнь, патогенез, клиника.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Принципы гигиенической регламентации производственной вибрации. Основные нормативные документы.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 xml:space="preserve">Меры </w:t>
      </w:r>
      <w:proofErr w:type="gramStart"/>
      <w:r w:rsidRPr="001B19DD">
        <w:rPr>
          <w:rFonts w:ascii="Times New Roman" w:hAnsi="Times New Roman"/>
          <w:sz w:val="24"/>
          <w:szCs w:val="24"/>
          <w:lang w:eastAsia="en-US"/>
        </w:rPr>
        <w:t>профилактики  при</w:t>
      </w:r>
      <w:proofErr w:type="gramEnd"/>
      <w:r w:rsidRPr="001B19DD">
        <w:rPr>
          <w:rFonts w:ascii="Times New Roman" w:hAnsi="Times New Roman"/>
          <w:sz w:val="24"/>
          <w:szCs w:val="24"/>
          <w:lang w:eastAsia="en-US"/>
        </w:rPr>
        <w:t xml:space="preserve"> воздействии вибрации.</w:t>
      </w:r>
    </w:p>
    <w:p w:rsidR="00AE5789" w:rsidRPr="00E819BC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вибрация, предельно-допустимый уровень вибрации, корректированный уровень вибрации, эквивалентный (по энергии) корректированный уровень изменяющейся во времени вибрации, вибрационная болезнь от действия локальной и общей вибрации, периферический ангиодистонический синдром верхних конечностей, синдром вегетативно-сенсорной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полинейропатии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B19DD">
        <w:t xml:space="preserve"> 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полирадикулоневропатии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AE5789" w:rsidRPr="0001134F" w:rsidRDefault="00AE5789" w:rsidP="00AE578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01134F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01134F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AE5789" w:rsidRPr="0001134F" w:rsidRDefault="00AE5789" w:rsidP="00AE578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01134F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01134F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AE5789" w:rsidRDefault="00AE5789" w:rsidP="00AE578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AE5789" w:rsidRPr="00C05DD7" w:rsidRDefault="00AE5789" w:rsidP="00AE578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182">
        <w:rPr>
          <w:rFonts w:ascii="Times New Roman" w:hAnsi="Times New Roman"/>
          <w:bCs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822182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22182">
        <w:rPr>
          <w:rFonts w:ascii="Times New Roman" w:hAnsi="Times New Roman"/>
          <w:bCs/>
          <w:sz w:val="24"/>
          <w:szCs w:val="24"/>
        </w:rPr>
        <w:t xml:space="preserve"> учеб. пособие для студентов,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обуч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Сетко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 [и др.]; ред. А. Г.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Сетко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 ;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ОрГМА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. - Электрон. текстовые дан. - Оренбург: [б. и.], 2013. </w:t>
      </w:r>
      <w:r>
        <w:rPr>
          <w:rFonts w:ascii="Times New Roman" w:hAnsi="Times New Roman"/>
          <w:bCs/>
          <w:sz w:val="24"/>
          <w:szCs w:val="24"/>
        </w:rPr>
        <w:t>– 188 с</w:t>
      </w:r>
      <w:r w:rsidRPr="00822182">
        <w:rPr>
          <w:rFonts w:ascii="Times New Roman" w:hAnsi="Times New Roman"/>
          <w:bCs/>
          <w:sz w:val="24"/>
          <w:szCs w:val="24"/>
        </w:rPr>
        <w:t>.</w:t>
      </w:r>
    </w:p>
    <w:p w:rsidR="00AE5789" w:rsidRPr="00C05DD7" w:rsidRDefault="00AE5789" w:rsidP="00AE578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AE5789" w:rsidRPr="00D20F3E" w:rsidRDefault="00AE5789" w:rsidP="00AE578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907FBC" w:rsidRPr="00907FBC" w:rsidRDefault="00907FBC" w:rsidP="00907FBC">
      <w:pPr>
        <w:pStyle w:val="a3"/>
        <w:numPr>
          <w:ilvl w:val="0"/>
          <w:numId w:val="7"/>
        </w:numPr>
        <w:tabs>
          <w:tab w:val="num" w:pos="36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07F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07FBC" w:rsidRPr="00907FBC" w:rsidRDefault="00907FBC" w:rsidP="00907FBC">
      <w:pPr>
        <w:pStyle w:val="a3"/>
        <w:numPr>
          <w:ilvl w:val="0"/>
          <w:numId w:val="7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07FBC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907FBC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907FBC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907FBC" w:rsidRPr="00907FBC" w:rsidRDefault="00907FBC" w:rsidP="00907FBC">
      <w:pPr>
        <w:pStyle w:val="a3"/>
        <w:numPr>
          <w:ilvl w:val="0"/>
          <w:numId w:val="7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07FBC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907FBC" w:rsidRPr="00907FBC" w:rsidRDefault="00907FBC" w:rsidP="00907FBC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7FBC">
        <w:rPr>
          <w:rFonts w:ascii="Times New Roman" w:hAnsi="Times New Roman"/>
          <w:sz w:val="24"/>
          <w:szCs w:val="24"/>
        </w:rPr>
        <w:lastRenderedPageBreak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AE5789" w:rsidRPr="00D20F3E" w:rsidRDefault="00AE5789" w:rsidP="00907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AE5789" w:rsidRPr="00D20F3E" w:rsidTr="00126E44">
        <w:trPr>
          <w:jc w:val="center"/>
        </w:trPr>
        <w:tc>
          <w:tcPr>
            <w:tcW w:w="579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E5789" w:rsidRPr="00D20F3E" w:rsidTr="00126E44">
        <w:trPr>
          <w:jc w:val="center"/>
        </w:trPr>
        <w:tc>
          <w:tcPr>
            <w:tcW w:w="579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E5789" w:rsidRPr="00D20F3E" w:rsidTr="00126E44">
        <w:trPr>
          <w:jc w:val="center"/>
        </w:trPr>
        <w:tc>
          <w:tcPr>
            <w:tcW w:w="579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E5789" w:rsidRPr="00D20F3E" w:rsidTr="00126E44">
        <w:trPr>
          <w:jc w:val="center"/>
        </w:trPr>
        <w:tc>
          <w:tcPr>
            <w:tcW w:w="579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789" w:rsidRPr="00D20F3E" w:rsidTr="00126E44">
        <w:trPr>
          <w:jc w:val="center"/>
        </w:trPr>
        <w:tc>
          <w:tcPr>
            <w:tcW w:w="579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AE5789" w:rsidRPr="00D20F3E" w:rsidTr="00126E44">
        <w:trPr>
          <w:jc w:val="center"/>
        </w:trPr>
        <w:tc>
          <w:tcPr>
            <w:tcW w:w="579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AE5789" w:rsidRPr="00A453D0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вибрации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AE5789" w:rsidRPr="00D20F3E" w:rsidTr="00126E44">
        <w:trPr>
          <w:jc w:val="center"/>
        </w:trPr>
        <w:tc>
          <w:tcPr>
            <w:tcW w:w="579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AE5789" w:rsidRPr="00D20F3E" w:rsidTr="00126E44">
        <w:trPr>
          <w:jc w:val="center"/>
        </w:trPr>
        <w:tc>
          <w:tcPr>
            <w:tcW w:w="579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AE5789" w:rsidRPr="00D20F3E" w:rsidRDefault="00AE5789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E5789" w:rsidRPr="00D20F3E" w:rsidRDefault="00AE5789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AE5789" w:rsidRPr="00D20F3E" w:rsidRDefault="00AE5789" w:rsidP="00AE57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E5789" w:rsidRPr="00D20F3E" w:rsidRDefault="00AE5789" w:rsidP="00AE57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AE5789" w:rsidRPr="00D20F3E" w:rsidRDefault="00AE5789" w:rsidP="00AE57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AE5789" w:rsidRDefault="00AE5789" w:rsidP="00AE578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C06"/>
    <w:multiLevelType w:val="hybridMultilevel"/>
    <w:tmpl w:val="7F98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8E38FE"/>
    <w:rsid w:val="00907FBC"/>
    <w:rsid w:val="00A15518"/>
    <w:rsid w:val="00AE5789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9B79"/>
  <w15:docId w15:val="{3D57BC84-CC7D-463A-AD48-8AD81C3A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3</cp:revision>
  <dcterms:created xsi:type="dcterms:W3CDTF">2022-02-09T07:33:00Z</dcterms:created>
  <dcterms:modified xsi:type="dcterms:W3CDTF">2022-02-09T07:36:00Z</dcterms:modified>
</cp:coreProperties>
</file>