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9" w:rsidRPr="00DE6610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 w:rsidR="002B030C">
        <w:rPr>
          <w:rFonts w:ascii="Times New Roman" w:hAnsi="Times New Roman"/>
          <w:b/>
          <w:sz w:val="24"/>
          <w:szCs w:val="24"/>
          <w:lang w:eastAsia="ar-SA"/>
        </w:rPr>
        <w:t>тие №1</w:t>
      </w:r>
    </w:p>
    <w:p w:rsidR="008612A9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Физиолого-гигиенические проблемы утомления.</w:t>
      </w:r>
    </w:p>
    <w:p w:rsidR="008612A9" w:rsidRPr="00282FF7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12A9" w:rsidRPr="00DE6610" w:rsidRDefault="008612A9" w:rsidP="008612A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6610">
        <w:rPr>
          <w:rFonts w:ascii="Times New Roman" w:hAnsi="Times New Roman"/>
          <w:sz w:val="24"/>
          <w:szCs w:val="24"/>
          <w:lang w:eastAsia="ru-RU"/>
        </w:rPr>
        <w:t>ознакомить студентов с проявлениями утомления и переутомления, мерами профилактики утомления.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закрепить знания о</w:t>
      </w:r>
      <w:r>
        <w:rPr>
          <w:rFonts w:ascii="Times New Roman" w:hAnsi="Times New Roman"/>
          <w:sz w:val="24"/>
          <w:szCs w:val="24"/>
          <w:lang w:eastAsia="ar-SA"/>
        </w:rPr>
        <w:t>б утомлении, перенапряжении, переутомлении, о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природе развития и проявления утомления и переутомления, мерах по профилактике утомления.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овладеть методикой </w:t>
      </w:r>
      <w:r>
        <w:rPr>
          <w:rFonts w:ascii="Times New Roman" w:hAnsi="Times New Roman"/>
          <w:sz w:val="24"/>
          <w:szCs w:val="24"/>
          <w:lang w:eastAsia="ar-SA"/>
        </w:rPr>
        <w:t>определения признаков утомления и переутомления</w:t>
      </w:r>
      <w:r w:rsidRPr="00DE6610">
        <w:rPr>
          <w:rFonts w:ascii="Times New Roman" w:hAnsi="Times New Roman"/>
          <w:sz w:val="24"/>
          <w:szCs w:val="24"/>
          <w:lang w:eastAsia="ar-SA"/>
        </w:rPr>
        <w:t>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</w:t>
      </w:r>
      <w:proofErr w:type="gramStart"/>
      <w:r w:rsidRPr="00DE6610">
        <w:rPr>
          <w:rFonts w:ascii="Times New Roman" w:hAnsi="Times New Roman"/>
          <w:sz w:val="24"/>
          <w:szCs w:val="24"/>
          <w:lang w:eastAsia="ar-SA"/>
        </w:rPr>
        <w:t>соблюдения  профилактических</w:t>
      </w:r>
      <w:proofErr w:type="gramEnd"/>
      <w:r w:rsidRPr="00DE6610">
        <w:rPr>
          <w:rFonts w:ascii="Times New Roman" w:hAnsi="Times New Roman"/>
          <w:sz w:val="24"/>
          <w:szCs w:val="24"/>
          <w:lang w:eastAsia="ar-SA"/>
        </w:rPr>
        <w:t xml:space="preserve"> мероприятий </w:t>
      </w:r>
      <w:r>
        <w:rPr>
          <w:rFonts w:ascii="Times New Roman" w:hAnsi="Times New Roman"/>
          <w:sz w:val="24"/>
          <w:szCs w:val="24"/>
          <w:lang w:eastAsia="ar-SA"/>
        </w:rPr>
        <w:t xml:space="preserve">по предупреждению утомления 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с целью </w:t>
      </w:r>
      <w:r>
        <w:rPr>
          <w:rFonts w:ascii="Times New Roman" w:hAnsi="Times New Roman"/>
          <w:sz w:val="24"/>
          <w:szCs w:val="24"/>
          <w:lang w:eastAsia="ar-SA"/>
        </w:rPr>
        <w:t>профилактики переутомления организма работающих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и поддержания высокой работоспособности.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Работоспособность, понятие, динамика работоспособности в течении рабочей смены, года.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Восстановление работоспособности, факторы его определяющие.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Утомление, понятие, его проявления. Современные представления о природе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Принципы диагностики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Основные мероприятия по профилактике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Переутомление, понятие, проявления.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Профессиональные заболевания, связанные с переутомлением.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Меры профилактики переутомления.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работоспособность, динамика работоспособности, кривая работоспособности, восстановление работоспособности, фазы восстановления работоспособности, утомление, перенапряжение, переутомление.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8612A9" w:rsidRPr="00DE6610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DE6610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DE6610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8612A9" w:rsidRPr="00DE6610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Алексеев С.В. Гигиена труда / С.В. Алексеев, В.Р. Усенко. – М.: Медицина, 1988. – 576 с.</w:t>
      </w:r>
    </w:p>
    <w:p w:rsidR="008612A9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Физиолого-гигиенические аспекты трудовой деятельности: учебное пособие / </w:t>
      </w:r>
      <w:proofErr w:type="spellStart"/>
      <w:r w:rsidRPr="00DE6610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 А.Г., </w:t>
      </w:r>
      <w:proofErr w:type="spellStart"/>
      <w:r w:rsidRPr="00DE6610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 Н.П., Тришина С.П. – Оренбург, 2013. – 100 с.</w:t>
      </w:r>
    </w:p>
    <w:p w:rsidR="008612A9" w:rsidRPr="00282FF7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2B030C" w:rsidRPr="002B030C" w:rsidRDefault="002B030C" w:rsidP="002B030C">
      <w:pPr>
        <w:pStyle w:val="a3"/>
        <w:numPr>
          <w:ilvl w:val="0"/>
          <w:numId w:val="31"/>
        </w:numPr>
        <w:tabs>
          <w:tab w:val="left" w:pos="288"/>
          <w:tab w:val="left" w:pos="4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</w:t>
      </w:r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.2.2.2006-05 «</w:t>
      </w:r>
      <w:proofErr w:type="gramStart"/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Руководство по гигиенической оценке</w:t>
      </w:r>
      <w:proofErr w:type="gramEnd"/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факторов рабочей среды и трудового процесса. Критерии и классификация условий труда»</w:t>
      </w:r>
    </w:p>
    <w:p w:rsidR="002B030C" w:rsidRPr="002B030C" w:rsidRDefault="002B030C" w:rsidP="002B030C">
      <w:pPr>
        <w:pStyle w:val="a3"/>
        <w:numPr>
          <w:ilvl w:val="0"/>
          <w:numId w:val="31"/>
        </w:numPr>
        <w:tabs>
          <w:tab w:val="left" w:pos="288"/>
          <w:tab w:val="left" w:pos="430"/>
          <w:tab w:val="left" w:pos="8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2B030C" w:rsidRPr="002B030C" w:rsidRDefault="002B030C" w:rsidP="002B030C">
      <w:pPr>
        <w:pStyle w:val="a3"/>
        <w:numPr>
          <w:ilvl w:val="0"/>
          <w:numId w:val="31"/>
        </w:numPr>
        <w:tabs>
          <w:tab w:val="left" w:pos="288"/>
          <w:tab w:val="left" w:pos="430"/>
          <w:tab w:val="left" w:pos="8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B030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8612A9" w:rsidRPr="002B030C" w:rsidRDefault="002B030C" w:rsidP="002B030C">
      <w:pPr>
        <w:pStyle w:val="a3"/>
        <w:tabs>
          <w:tab w:val="left" w:pos="288"/>
          <w:tab w:val="left" w:pos="430"/>
          <w:tab w:val="left" w:pos="859"/>
        </w:tabs>
        <w:spacing w:after="0" w:line="240" w:lineRule="auto"/>
        <w:ind w:left="5" w:firstLine="57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5</w:t>
      </w:r>
      <w:r w:rsidR="008612A9">
        <w:rPr>
          <w:rFonts w:ascii="Times New Roman" w:hAnsi="Times New Roman"/>
          <w:sz w:val="24"/>
          <w:szCs w:val="24"/>
        </w:rPr>
        <w:t xml:space="preserve">. </w:t>
      </w:r>
      <w:r w:rsidR="008612A9" w:rsidRPr="00DE6610">
        <w:rPr>
          <w:rFonts w:ascii="Times New Roman" w:hAnsi="Times New Roman"/>
          <w:sz w:val="24"/>
          <w:szCs w:val="24"/>
        </w:rPr>
        <w:t>Лекции кафедры.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DE6610">
        <w:rPr>
          <w:rFonts w:ascii="Times New Roman" w:hAnsi="Times New Roman"/>
          <w:b/>
          <w:sz w:val="24"/>
          <w:szCs w:val="24"/>
          <w:lang w:eastAsia="ar-SA"/>
        </w:rPr>
        <w:t>Хронокарта</w:t>
      </w:r>
      <w:proofErr w:type="spellEnd"/>
      <w:r w:rsidRPr="00DE6610">
        <w:rPr>
          <w:rFonts w:ascii="Times New Roman" w:hAnsi="Times New Roman"/>
          <w:b/>
          <w:sz w:val="24"/>
          <w:szCs w:val="24"/>
          <w:lang w:eastAsia="ar-SA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787"/>
        <w:gridCol w:w="2181"/>
        <w:gridCol w:w="1801"/>
      </w:tblGrid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1.1 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Организационный момент.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Объявление темы, цели занятия.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й, умений и навыков студентов: 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показателями и особенностями установления состояния утомления, переутомления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примере решения ситуационных задач. Оценка результатов проведенных расчетов в соответствии с действующей нормативной документацией.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8612A9" w:rsidRPr="00DE6610" w:rsidTr="00126E44">
        <w:trPr>
          <w:jc w:val="center"/>
        </w:trPr>
        <w:tc>
          <w:tcPr>
            <w:tcW w:w="579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8612A9" w:rsidRPr="00DE6610" w:rsidRDefault="008612A9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8612A9" w:rsidRPr="00DE6610" w:rsidRDefault="008612A9" w:rsidP="008612A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8612A9" w:rsidRPr="00DE6610" w:rsidRDefault="008612A9" w:rsidP="008612A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8612A9" w:rsidRPr="00DE6610" w:rsidRDefault="008612A9" w:rsidP="008612A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668EE"/>
    <w:multiLevelType w:val="hybridMultilevel"/>
    <w:tmpl w:val="7E44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5"/>
  </w:num>
  <w:num w:numId="10">
    <w:abstractNumId w:val="9"/>
  </w:num>
  <w:num w:numId="11">
    <w:abstractNumId w:val="0"/>
  </w:num>
  <w:num w:numId="12">
    <w:abstractNumId w:val="30"/>
  </w:num>
  <w:num w:numId="13">
    <w:abstractNumId w:val="3"/>
  </w:num>
  <w:num w:numId="14">
    <w:abstractNumId w:val="26"/>
  </w:num>
  <w:num w:numId="15">
    <w:abstractNumId w:val="29"/>
  </w:num>
  <w:num w:numId="16">
    <w:abstractNumId w:val="28"/>
  </w:num>
  <w:num w:numId="17">
    <w:abstractNumId w:val="8"/>
  </w:num>
  <w:num w:numId="18">
    <w:abstractNumId w:val="2"/>
  </w:num>
  <w:num w:numId="19">
    <w:abstractNumId w:val="20"/>
  </w:num>
  <w:num w:numId="20">
    <w:abstractNumId w:val="1"/>
  </w:num>
  <w:num w:numId="21">
    <w:abstractNumId w:val="19"/>
  </w:num>
  <w:num w:numId="22">
    <w:abstractNumId w:val="7"/>
  </w:num>
  <w:num w:numId="23">
    <w:abstractNumId w:val="17"/>
  </w:num>
  <w:num w:numId="24">
    <w:abstractNumId w:val="24"/>
  </w:num>
  <w:num w:numId="25">
    <w:abstractNumId w:val="13"/>
  </w:num>
  <w:num w:numId="26">
    <w:abstractNumId w:val="11"/>
  </w:num>
  <w:num w:numId="27">
    <w:abstractNumId w:val="10"/>
  </w:num>
  <w:num w:numId="28">
    <w:abstractNumId w:val="25"/>
  </w:num>
  <w:num w:numId="29">
    <w:abstractNumId w:val="21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B030C"/>
    <w:rsid w:val="002C3C58"/>
    <w:rsid w:val="00332F82"/>
    <w:rsid w:val="00351D7B"/>
    <w:rsid w:val="00417F0E"/>
    <w:rsid w:val="006C1016"/>
    <w:rsid w:val="008612A9"/>
    <w:rsid w:val="00A15518"/>
    <w:rsid w:val="00AC449C"/>
    <w:rsid w:val="00AE5789"/>
    <w:rsid w:val="00B15B45"/>
    <w:rsid w:val="00BE3AD5"/>
    <w:rsid w:val="00C06553"/>
    <w:rsid w:val="00C60BD6"/>
    <w:rsid w:val="00DC2EF3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D32C"/>
  <w15:docId w15:val="{64975827-FE4B-49C6-9E82-9026E118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2022-02-09T08:13:00Z</dcterms:created>
  <dcterms:modified xsi:type="dcterms:W3CDTF">2022-02-09T08:13:00Z</dcterms:modified>
</cp:coreProperties>
</file>