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6B" w:rsidRPr="0031046B" w:rsidRDefault="0031046B" w:rsidP="0031046B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31046B">
        <w:rPr>
          <w:rFonts w:eastAsia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31046B" w:rsidRPr="0031046B" w:rsidRDefault="0031046B" w:rsidP="0031046B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31046B">
        <w:rPr>
          <w:rFonts w:eastAsia="Times New Roman"/>
          <w:sz w:val="28"/>
          <w:szCs w:val="28"/>
          <w:lang w:eastAsia="ru-RU"/>
        </w:rPr>
        <w:t>высшего образования</w:t>
      </w:r>
    </w:p>
    <w:p w:rsidR="0031046B" w:rsidRPr="0031046B" w:rsidRDefault="0031046B" w:rsidP="0031046B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31046B">
        <w:rPr>
          <w:rFonts w:eastAsia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31046B" w:rsidRPr="0031046B" w:rsidRDefault="0031046B" w:rsidP="0031046B">
      <w:pPr>
        <w:ind w:left="0"/>
        <w:jc w:val="center"/>
        <w:rPr>
          <w:rFonts w:eastAsia="Times New Roman"/>
          <w:sz w:val="24"/>
          <w:szCs w:val="24"/>
          <w:lang w:eastAsia="ru-RU"/>
        </w:rPr>
      </w:pPr>
      <w:r w:rsidRPr="0031046B">
        <w:rPr>
          <w:rFonts w:eastAsia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31046B" w:rsidRPr="0031046B" w:rsidRDefault="0031046B" w:rsidP="0031046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31046B">
        <w:rPr>
          <w:rFonts w:eastAsia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31046B" w:rsidRPr="0031046B" w:rsidRDefault="0031046B" w:rsidP="0031046B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31046B">
        <w:rPr>
          <w:rFonts w:eastAsia="Times New Roman"/>
          <w:b/>
          <w:sz w:val="28"/>
          <w:szCs w:val="28"/>
          <w:lang w:eastAsia="ru-RU"/>
        </w:rPr>
        <w:t xml:space="preserve">ДЛЯ ПРЕПОДАВАТЕЛЯ </w:t>
      </w:r>
    </w:p>
    <w:p w:rsidR="0031046B" w:rsidRPr="0031046B" w:rsidRDefault="0031046B" w:rsidP="0031046B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31046B">
        <w:rPr>
          <w:rFonts w:eastAsia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31046B" w:rsidRPr="0031046B" w:rsidRDefault="0031046B" w:rsidP="0031046B">
      <w:pPr>
        <w:ind w:left="0"/>
        <w:jc w:val="center"/>
        <w:rPr>
          <w:rFonts w:eastAsia="Times New Roman"/>
          <w:sz w:val="28"/>
          <w:szCs w:val="28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sz w:val="28"/>
          <w:lang w:eastAsia="ru-RU"/>
        </w:rPr>
      </w:pPr>
      <w:r w:rsidRPr="0031046B">
        <w:rPr>
          <w:rFonts w:eastAsia="Times New Roman"/>
          <w:sz w:val="28"/>
          <w:lang w:eastAsia="ru-RU"/>
        </w:rPr>
        <w:t>Госпитальная педиатрия</w:t>
      </w:r>
    </w:p>
    <w:p w:rsidR="0031046B" w:rsidRPr="0031046B" w:rsidRDefault="0031046B" w:rsidP="0031046B">
      <w:pPr>
        <w:ind w:left="0"/>
        <w:jc w:val="center"/>
        <w:rPr>
          <w:rFonts w:eastAsia="Times New Roman"/>
          <w:sz w:val="28"/>
          <w:lang w:eastAsia="ru-RU"/>
        </w:rPr>
      </w:pPr>
      <w:r w:rsidRPr="0031046B">
        <w:rPr>
          <w:rFonts w:eastAsia="Times New Roman"/>
          <w:sz w:val="28"/>
          <w:lang w:eastAsia="ru-RU"/>
        </w:rPr>
        <w:t>Модуль Неонатология</w:t>
      </w:r>
    </w:p>
    <w:p w:rsidR="0031046B" w:rsidRPr="0031046B" w:rsidRDefault="0031046B" w:rsidP="0031046B">
      <w:pPr>
        <w:ind w:left="0"/>
        <w:jc w:val="center"/>
        <w:rPr>
          <w:rFonts w:eastAsia="Times New Roman"/>
          <w:sz w:val="28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sz w:val="28"/>
          <w:lang w:eastAsia="ru-RU"/>
        </w:rPr>
      </w:pPr>
      <w:r w:rsidRPr="0031046B">
        <w:rPr>
          <w:rFonts w:eastAsia="Times New Roman"/>
          <w:sz w:val="28"/>
          <w:lang w:eastAsia="ru-RU"/>
        </w:rPr>
        <w:t>По специальности Педиатрия 31.05.02.</w:t>
      </w:r>
    </w:p>
    <w:p w:rsidR="0031046B" w:rsidRPr="0031046B" w:rsidRDefault="0031046B" w:rsidP="0031046B">
      <w:pPr>
        <w:ind w:left="0"/>
        <w:jc w:val="center"/>
        <w:rPr>
          <w:rFonts w:eastAsia="Times New Roman"/>
          <w:sz w:val="28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1046B" w:rsidRPr="0031046B" w:rsidRDefault="0031046B" w:rsidP="0031046B">
      <w:pPr>
        <w:ind w:left="0"/>
        <w:jc w:val="center"/>
        <w:rPr>
          <w:rFonts w:eastAsia="Times New Roman"/>
          <w:sz w:val="28"/>
          <w:lang w:eastAsia="ru-RU"/>
        </w:rPr>
      </w:pPr>
      <w:r w:rsidRPr="0031046B">
        <w:rPr>
          <w:rFonts w:eastAsia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</w:t>
      </w:r>
    </w:p>
    <w:p w:rsidR="0031046B" w:rsidRPr="0031046B" w:rsidRDefault="0031046B" w:rsidP="0031046B">
      <w:pPr>
        <w:ind w:left="0"/>
        <w:jc w:val="center"/>
        <w:rPr>
          <w:rFonts w:eastAsia="Times New Roman"/>
          <w:sz w:val="28"/>
          <w:lang w:eastAsia="ru-RU"/>
        </w:rPr>
      </w:pPr>
      <w:r w:rsidRPr="0031046B">
        <w:rPr>
          <w:rFonts w:eastAsia="Times New Roman"/>
          <w:color w:val="000000"/>
          <w:sz w:val="24"/>
          <w:szCs w:val="24"/>
          <w:lang w:eastAsia="ru-RU"/>
        </w:rPr>
        <w:t>по направлению подготовки (специальности)</w:t>
      </w:r>
      <w:r w:rsidRPr="0031046B">
        <w:rPr>
          <w:rFonts w:eastAsia="Times New Roman"/>
          <w:sz w:val="28"/>
          <w:lang w:eastAsia="ru-RU"/>
        </w:rPr>
        <w:t xml:space="preserve"> Педиатрия 31.05.02.</w:t>
      </w:r>
    </w:p>
    <w:p w:rsidR="0031046B" w:rsidRPr="0031046B" w:rsidRDefault="0031046B" w:rsidP="0031046B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31046B" w:rsidRPr="0031046B" w:rsidRDefault="0031046B" w:rsidP="0031046B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31046B"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______________________________________________________________________________, </w:t>
      </w:r>
    </w:p>
    <w:p w:rsidR="0031046B" w:rsidRPr="0031046B" w:rsidRDefault="0031046B" w:rsidP="0031046B">
      <w:pPr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31046B">
        <w:rPr>
          <w:rFonts w:eastAsia="Times New Roman"/>
          <w:color w:val="000000"/>
          <w:sz w:val="24"/>
          <w:szCs w:val="24"/>
          <w:lang w:eastAsia="ru-RU"/>
        </w:rPr>
        <w:t xml:space="preserve">утвержденной ученым советом ФГБОУ ВО </w:t>
      </w:r>
      <w:proofErr w:type="spellStart"/>
      <w:r w:rsidRPr="0031046B">
        <w:rPr>
          <w:rFonts w:eastAsia="Times New Roman"/>
          <w:color w:val="000000"/>
          <w:sz w:val="24"/>
          <w:szCs w:val="24"/>
          <w:lang w:eastAsia="ru-RU"/>
        </w:rPr>
        <w:t>ОрГМУ</w:t>
      </w:r>
      <w:proofErr w:type="spellEnd"/>
      <w:r w:rsidRPr="0031046B">
        <w:rPr>
          <w:rFonts w:eastAsia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31046B" w:rsidRPr="0031046B" w:rsidRDefault="0031046B" w:rsidP="0031046B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31046B" w:rsidRPr="0031046B" w:rsidRDefault="0031046B" w:rsidP="0031046B">
      <w:pPr>
        <w:ind w:left="0"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1046B">
        <w:rPr>
          <w:rFonts w:eastAsia="Times New Roman"/>
          <w:color w:val="000000"/>
          <w:sz w:val="24"/>
          <w:szCs w:val="24"/>
          <w:lang w:eastAsia="ru-RU"/>
        </w:rPr>
        <w:t>протокол № _3________  от «   23___» октября______________20</w:t>
      </w:r>
      <w:r w:rsidR="00D4108A">
        <w:rPr>
          <w:rFonts w:eastAsia="Times New Roman"/>
          <w:color w:val="000000"/>
          <w:sz w:val="24"/>
          <w:szCs w:val="24"/>
          <w:lang w:eastAsia="ru-RU"/>
        </w:rPr>
        <w:t>23</w:t>
      </w:r>
      <w:r w:rsidRPr="0031046B">
        <w:rPr>
          <w:rFonts w:eastAsia="Times New Roman"/>
          <w:color w:val="000000"/>
          <w:sz w:val="24"/>
          <w:szCs w:val="24"/>
          <w:lang w:eastAsia="ru-RU"/>
        </w:rPr>
        <w:t>___</w:t>
      </w:r>
    </w:p>
    <w:p w:rsidR="0031046B" w:rsidRPr="0031046B" w:rsidRDefault="0031046B" w:rsidP="0031046B">
      <w:pPr>
        <w:ind w:left="0" w:firstLine="709"/>
        <w:jc w:val="center"/>
        <w:rPr>
          <w:rFonts w:eastAsia="Times New Roman"/>
          <w:sz w:val="28"/>
          <w:lang w:eastAsia="ru-RU"/>
        </w:rPr>
      </w:pPr>
    </w:p>
    <w:p w:rsidR="0031046B" w:rsidRPr="0031046B" w:rsidRDefault="0031046B" w:rsidP="0031046B">
      <w:pPr>
        <w:ind w:left="0" w:firstLine="709"/>
        <w:jc w:val="center"/>
        <w:rPr>
          <w:rFonts w:eastAsia="Times New Roman"/>
          <w:sz w:val="28"/>
          <w:lang w:eastAsia="ru-RU"/>
        </w:rPr>
      </w:pPr>
    </w:p>
    <w:p w:rsidR="0031046B" w:rsidRPr="0031046B" w:rsidRDefault="0031046B" w:rsidP="0031046B">
      <w:pPr>
        <w:ind w:left="0" w:firstLine="709"/>
        <w:jc w:val="center"/>
        <w:rPr>
          <w:rFonts w:eastAsia="Times New Roman"/>
          <w:sz w:val="28"/>
          <w:lang w:eastAsia="ru-RU"/>
        </w:rPr>
      </w:pPr>
      <w:r w:rsidRPr="0031046B">
        <w:rPr>
          <w:rFonts w:eastAsia="Times New Roman"/>
          <w:sz w:val="28"/>
          <w:lang w:eastAsia="ru-RU"/>
        </w:rPr>
        <w:t>Оренбург</w:t>
      </w:r>
    </w:p>
    <w:p w:rsidR="0031046B" w:rsidRPr="0031046B" w:rsidRDefault="0031046B" w:rsidP="0031046B">
      <w:pPr>
        <w:ind w:left="0" w:firstLine="709"/>
        <w:jc w:val="center"/>
        <w:rPr>
          <w:rFonts w:eastAsia="Times New Roman"/>
          <w:sz w:val="28"/>
          <w:lang w:eastAsia="ru-RU"/>
        </w:rPr>
      </w:pPr>
    </w:p>
    <w:p w:rsidR="0031046B" w:rsidRPr="0031046B" w:rsidRDefault="0031046B" w:rsidP="0031046B">
      <w:pPr>
        <w:ind w:left="0" w:firstLine="709"/>
        <w:jc w:val="center"/>
        <w:rPr>
          <w:rFonts w:eastAsia="Times New Roman"/>
          <w:b/>
          <w:color w:val="000000"/>
          <w:sz w:val="24"/>
          <w:szCs w:val="24"/>
        </w:rPr>
      </w:pPr>
    </w:p>
    <w:p w:rsidR="0031046B" w:rsidRPr="0031046B" w:rsidRDefault="0031046B" w:rsidP="0031046B">
      <w:pPr>
        <w:ind w:left="0"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1046B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 xml:space="preserve"> Методические рекомендации по проведению практических занятий</w:t>
      </w:r>
    </w:p>
    <w:p w:rsidR="0031046B" w:rsidRPr="0031046B" w:rsidRDefault="0031046B" w:rsidP="0031046B">
      <w:pPr>
        <w:ind w:left="0"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1046B">
        <w:rPr>
          <w:rFonts w:eastAsia="Times New Roman"/>
          <w:b/>
          <w:color w:val="000000"/>
          <w:sz w:val="28"/>
          <w:szCs w:val="28"/>
          <w:lang w:eastAsia="ru-RU"/>
        </w:rPr>
        <w:t xml:space="preserve">  Неонатология  </w:t>
      </w:r>
    </w:p>
    <w:p w:rsidR="0031046B" w:rsidRPr="0031046B" w:rsidRDefault="0031046B" w:rsidP="0031046B">
      <w:pPr>
        <w:ind w:left="0" w:firstLine="709"/>
        <w:jc w:val="center"/>
        <w:rPr>
          <w:rFonts w:eastAsia="Times New Roman"/>
          <w:i/>
          <w:color w:val="000000"/>
          <w:sz w:val="24"/>
          <w:szCs w:val="24"/>
          <w:lang w:eastAsia="ru-RU"/>
        </w:rPr>
      </w:pPr>
    </w:p>
    <w:p w:rsidR="0031046B" w:rsidRPr="0031046B" w:rsidRDefault="0031046B" w:rsidP="0031046B">
      <w:pPr>
        <w:ind w:left="0" w:firstLine="709"/>
        <w:rPr>
          <w:rFonts w:eastAsia="Times New Roman"/>
          <w:color w:val="000000"/>
          <w:sz w:val="8"/>
          <w:szCs w:val="24"/>
          <w:lang w:eastAsia="ru-RU"/>
        </w:rPr>
      </w:pPr>
    </w:p>
    <w:p w:rsidR="0031046B" w:rsidRPr="0031046B" w:rsidRDefault="0031046B" w:rsidP="0031046B">
      <w:pPr>
        <w:spacing w:before="240"/>
        <w:ind w:left="0" w:firstLine="426"/>
        <w:jc w:val="left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1046B">
        <w:rPr>
          <w:rFonts w:eastAsia="Times New Roman"/>
          <w:b/>
          <w:sz w:val="28"/>
          <w:szCs w:val="28"/>
          <w:lang w:eastAsia="ru-RU"/>
        </w:rPr>
        <w:t>Тема</w:t>
      </w:r>
      <w:r w:rsidRPr="0031046B">
        <w:rPr>
          <w:rFonts w:eastAsia="Times New Roman"/>
          <w:sz w:val="28"/>
          <w:szCs w:val="28"/>
          <w:lang w:eastAsia="ru-RU"/>
        </w:rPr>
        <w:t xml:space="preserve">: Дифференциальный диагноз </w:t>
      </w:r>
      <w:proofErr w:type="spellStart"/>
      <w:r w:rsidRPr="0031046B">
        <w:rPr>
          <w:rFonts w:eastAsia="Times New Roman"/>
          <w:sz w:val="28"/>
          <w:szCs w:val="28"/>
          <w:lang w:eastAsia="ru-RU"/>
        </w:rPr>
        <w:t>желтух</w:t>
      </w:r>
      <w:proofErr w:type="spellEnd"/>
      <w:r w:rsidRPr="0031046B">
        <w:rPr>
          <w:rFonts w:eastAsia="Times New Roman"/>
          <w:sz w:val="28"/>
          <w:szCs w:val="28"/>
          <w:lang w:eastAsia="ru-RU"/>
        </w:rPr>
        <w:t xml:space="preserve"> новорожденных. Основные подходы к лечению </w:t>
      </w:r>
      <w:proofErr w:type="spellStart"/>
      <w:r w:rsidRPr="0031046B">
        <w:rPr>
          <w:rFonts w:eastAsia="Times New Roman"/>
          <w:sz w:val="28"/>
          <w:szCs w:val="28"/>
          <w:lang w:eastAsia="ru-RU"/>
        </w:rPr>
        <w:t>желтух</w:t>
      </w:r>
      <w:proofErr w:type="spellEnd"/>
      <w:r w:rsidRPr="0031046B">
        <w:rPr>
          <w:rFonts w:eastAsia="Times New Roman"/>
          <w:sz w:val="28"/>
          <w:szCs w:val="28"/>
          <w:lang w:eastAsia="ru-RU"/>
        </w:rPr>
        <w:t>.  Исходы, прогноз. Гемолитическая болезнь новорожденных</w:t>
      </w:r>
      <w:r w:rsidRPr="0031046B">
        <w:rPr>
          <w:rFonts w:eastAsia="Times New Roman"/>
          <w:color w:val="000000"/>
          <w:sz w:val="28"/>
          <w:szCs w:val="28"/>
          <w:lang w:eastAsia="ru-RU"/>
        </w:rPr>
        <w:t>. (6 часов)</w:t>
      </w:r>
    </w:p>
    <w:p w:rsidR="0031046B" w:rsidRPr="0031046B" w:rsidRDefault="0031046B" w:rsidP="0031046B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1046B">
        <w:rPr>
          <w:rFonts w:eastAsia="Times New Roman"/>
          <w:b/>
          <w:color w:val="000000"/>
          <w:sz w:val="28"/>
          <w:szCs w:val="28"/>
          <w:lang w:eastAsia="ru-RU"/>
        </w:rPr>
        <w:t>Вид учебного занятия -</w:t>
      </w:r>
      <w:r w:rsidRPr="0031046B">
        <w:rPr>
          <w:rFonts w:eastAsia="Times New Roman"/>
          <w:color w:val="000000"/>
          <w:sz w:val="28"/>
          <w:szCs w:val="28"/>
          <w:lang w:eastAsia="ru-RU"/>
        </w:rPr>
        <w:t>практическое занятие</w:t>
      </w:r>
    </w:p>
    <w:p w:rsidR="0031046B" w:rsidRPr="0031046B" w:rsidRDefault="0031046B" w:rsidP="0031046B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</w:p>
    <w:p w:rsidR="0031046B" w:rsidRPr="0031046B" w:rsidRDefault="0031046B" w:rsidP="0031046B">
      <w:pPr>
        <w:spacing w:after="200" w:line="276" w:lineRule="auto"/>
        <w:ind w:left="0"/>
        <w:jc w:val="left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1046B">
        <w:rPr>
          <w:rFonts w:eastAsia="Times New Roman"/>
          <w:b/>
          <w:color w:val="000000"/>
          <w:sz w:val="28"/>
          <w:szCs w:val="28"/>
          <w:lang w:eastAsia="ru-RU"/>
        </w:rPr>
        <w:t>Цель</w:t>
      </w:r>
      <w:r w:rsidRPr="0031046B">
        <w:rPr>
          <w:rFonts w:eastAsia="Times New Roman"/>
          <w:b/>
          <w:sz w:val="28"/>
          <w:szCs w:val="28"/>
          <w:lang w:eastAsia="ru-RU"/>
        </w:rPr>
        <w:t xml:space="preserve"> занятия: </w:t>
      </w:r>
      <w:r w:rsidRPr="0031046B">
        <w:rPr>
          <w:rFonts w:eastAsia="Times New Roman"/>
          <w:sz w:val="28"/>
          <w:szCs w:val="28"/>
          <w:lang w:eastAsia="ru-RU"/>
        </w:rPr>
        <w:t>формирование и развитие у выпускников по специальности «Педиатрия» компетенций  по диагностике, проведению дифференциального диагноза и лечению заболеваний, сопровождающихся желтушным синдромом у новорожденных.</w:t>
      </w:r>
    </w:p>
    <w:p w:rsidR="0031046B" w:rsidRPr="0031046B" w:rsidRDefault="0031046B" w:rsidP="0031046B">
      <w:pPr>
        <w:ind w:left="0" w:firstLine="709"/>
        <w:rPr>
          <w:rFonts w:eastAsia="Times New Roman"/>
          <w:b/>
          <w:color w:val="000000"/>
          <w:sz w:val="8"/>
          <w:szCs w:val="24"/>
          <w:lang w:eastAsia="ru-RU"/>
        </w:rPr>
      </w:pPr>
    </w:p>
    <w:p w:rsidR="0031046B" w:rsidRPr="0031046B" w:rsidRDefault="0031046B" w:rsidP="0031046B">
      <w:pPr>
        <w:ind w:left="0" w:firstLine="709"/>
        <w:rPr>
          <w:rFonts w:eastAsia="Times New Roman"/>
          <w:color w:val="000000"/>
          <w:sz w:val="8"/>
          <w:szCs w:val="24"/>
          <w:lang w:eastAsia="ru-RU"/>
        </w:rPr>
      </w:pPr>
    </w:p>
    <w:p w:rsidR="0031046B" w:rsidRPr="0031046B" w:rsidRDefault="0031046B" w:rsidP="0031046B">
      <w:pPr>
        <w:ind w:left="0"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1046B">
        <w:rPr>
          <w:rFonts w:eastAsia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31046B" w:rsidRPr="0031046B" w:rsidRDefault="0031046B" w:rsidP="0031046B">
      <w:pPr>
        <w:ind w:left="0" w:firstLine="709"/>
        <w:rPr>
          <w:rFonts w:eastAsia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31046B" w:rsidRPr="0031046B" w:rsidTr="00145260">
        <w:trPr>
          <w:jc w:val="center"/>
        </w:trPr>
        <w:tc>
          <w:tcPr>
            <w:tcW w:w="988" w:type="dxa"/>
          </w:tcPr>
          <w:p w:rsidR="0031046B" w:rsidRPr="0031046B" w:rsidRDefault="0031046B" w:rsidP="0031046B">
            <w:pPr>
              <w:ind w:lef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1046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1046B" w:rsidRPr="0031046B" w:rsidRDefault="0031046B" w:rsidP="0031046B">
            <w:pPr>
              <w:ind w:lef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1046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1046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</w:tcPr>
          <w:p w:rsidR="0031046B" w:rsidRPr="0031046B" w:rsidRDefault="0031046B" w:rsidP="0031046B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1046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31046B" w:rsidRPr="0031046B" w:rsidTr="00145260">
        <w:trPr>
          <w:jc w:val="center"/>
        </w:trPr>
        <w:tc>
          <w:tcPr>
            <w:tcW w:w="988" w:type="dxa"/>
          </w:tcPr>
          <w:p w:rsidR="0031046B" w:rsidRPr="0031046B" w:rsidRDefault="0031046B" w:rsidP="0031046B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1046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1046B" w:rsidRPr="0031046B" w:rsidRDefault="0031046B" w:rsidP="0031046B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31046B" w:rsidRPr="0031046B" w:rsidRDefault="0031046B" w:rsidP="0031046B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31046B" w:rsidRPr="0031046B" w:rsidRDefault="0031046B" w:rsidP="0031046B">
            <w:pPr>
              <w:ind w:left="0" w:firstLine="709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31046B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31046B" w:rsidRPr="0031046B" w:rsidRDefault="0031046B" w:rsidP="0031046B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1046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31046B" w:rsidRPr="0031046B" w:rsidRDefault="0031046B" w:rsidP="0031046B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1046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Актуальность изучения темы занятия</w:t>
            </w:r>
          </w:p>
        </w:tc>
      </w:tr>
      <w:tr w:rsidR="0031046B" w:rsidRPr="0031046B" w:rsidTr="00145260">
        <w:trPr>
          <w:jc w:val="center"/>
        </w:trPr>
        <w:tc>
          <w:tcPr>
            <w:tcW w:w="988" w:type="dxa"/>
          </w:tcPr>
          <w:p w:rsidR="0031046B" w:rsidRPr="0031046B" w:rsidRDefault="0031046B" w:rsidP="0031046B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1046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</w:tcPr>
          <w:p w:rsidR="0031046B" w:rsidRPr="0031046B" w:rsidRDefault="0031046B" w:rsidP="0031046B">
            <w:pPr>
              <w:ind w:left="0" w:firstLine="709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31046B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 -</w:t>
            </w:r>
            <w:r w:rsidRPr="0031046B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тестирование, устный опрос.</w:t>
            </w:r>
          </w:p>
        </w:tc>
      </w:tr>
      <w:tr w:rsidR="0031046B" w:rsidRPr="0031046B" w:rsidTr="00145260">
        <w:trPr>
          <w:jc w:val="center"/>
        </w:trPr>
        <w:tc>
          <w:tcPr>
            <w:tcW w:w="988" w:type="dxa"/>
          </w:tcPr>
          <w:p w:rsidR="0031046B" w:rsidRPr="0031046B" w:rsidRDefault="0031046B" w:rsidP="0031046B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1046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</w:tcPr>
          <w:p w:rsidR="0031046B" w:rsidRPr="0031046B" w:rsidRDefault="0031046B" w:rsidP="0031046B">
            <w:pPr>
              <w:spacing w:after="200" w:line="276" w:lineRule="auto"/>
              <w:ind w:left="0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046B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занятия:</w:t>
            </w:r>
            <w:r w:rsidRPr="0031046B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отработка методики</w:t>
            </w:r>
            <w:r w:rsidRPr="0031046B">
              <w:rPr>
                <w:rFonts w:eastAsia="Times New Roman"/>
                <w:sz w:val="28"/>
                <w:szCs w:val="28"/>
                <w:lang w:eastAsia="ru-RU"/>
              </w:rPr>
              <w:t xml:space="preserve"> диагностики, дифференциального диагноза и лечения  </w:t>
            </w:r>
            <w:proofErr w:type="spellStart"/>
            <w:r w:rsidRPr="0031046B">
              <w:rPr>
                <w:rFonts w:eastAsia="Times New Roman"/>
                <w:sz w:val="28"/>
                <w:szCs w:val="28"/>
                <w:lang w:eastAsia="ru-RU"/>
              </w:rPr>
              <w:t>желтух</w:t>
            </w:r>
            <w:proofErr w:type="spellEnd"/>
            <w:r w:rsidRPr="0031046B">
              <w:rPr>
                <w:rFonts w:eastAsia="Times New Roman"/>
                <w:sz w:val="28"/>
                <w:szCs w:val="28"/>
                <w:lang w:eastAsia="ru-RU"/>
              </w:rPr>
              <w:t xml:space="preserve"> различного генеза у новорожденных детей</w:t>
            </w:r>
            <w:r w:rsidRPr="0031046B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, присутствие в отделениях интенсивной терапии, новорожденных детей родильного дома, оформление медицинской документации.</w:t>
            </w:r>
          </w:p>
          <w:p w:rsidR="0031046B" w:rsidRPr="0031046B" w:rsidRDefault="0031046B" w:rsidP="0031046B">
            <w:pPr>
              <w:ind w:left="360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1046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 теоретического материала</w:t>
            </w:r>
            <w:r w:rsidRPr="0031046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на примере больного или копий из историй болезни (при отсутствии больного по теме занятия).</w:t>
            </w:r>
          </w:p>
          <w:p w:rsidR="0031046B" w:rsidRPr="0031046B" w:rsidRDefault="0031046B" w:rsidP="0031046B">
            <w:pPr>
              <w:ind w:left="36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31046B" w:rsidRPr="0031046B" w:rsidRDefault="0031046B" w:rsidP="0031046B">
            <w:pPr>
              <w:ind w:left="360"/>
              <w:rPr>
                <w:rFonts w:eastAsia="Times New Roman"/>
                <w:sz w:val="28"/>
                <w:szCs w:val="28"/>
                <w:lang w:eastAsia="ru-RU"/>
              </w:rPr>
            </w:pPr>
            <w:r w:rsidRPr="0031046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Заключительный контроль</w:t>
            </w:r>
            <w:r w:rsidRPr="0031046B">
              <w:rPr>
                <w:rFonts w:eastAsia="Times New Roman"/>
                <w:sz w:val="28"/>
                <w:szCs w:val="28"/>
                <w:lang w:eastAsia="ru-RU"/>
              </w:rPr>
              <w:t xml:space="preserve"> решение ситуационных задач</w:t>
            </w:r>
          </w:p>
          <w:p w:rsidR="0031046B" w:rsidRPr="0031046B" w:rsidRDefault="0031046B" w:rsidP="0031046B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31046B" w:rsidRPr="0031046B" w:rsidTr="00145260">
        <w:trPr>
          <w:jc w:val="center"/>
        </w:trPr>
        <w:tc>
          <w:tcPr>
            <w:tcW w:w="988" w:type="dxa"/>
          </w:tcPr>
          <w:p w:rsidR="0031046B" w:rsidRPr="0031046B" w:rsidRDefault="0031046B" w:rsidP="0031046B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1046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</w:tcPr>
          <w:p w:rsidR="0031046B" w:rsidRPr="0031046B" w:rsidRDefault="0031046B" w:rsidP="0031046B">
            <w:pPr>
              <w:ind w:left="0" w:firstLine="709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31046B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31046B" w:rsidRPr="0031046B" w:rsidRDefault="0031046B" w:rsidP="0031046B">
            <w:pPr>
              <w:numPr>
                <w:ilvl w:val="0"/>
                <w:numId w:val="1"/>
              </w:numPr>
              <w:spacing w:after="200" w:line="276" w:lineRule="auto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31046B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46B" w:rsidRPr="0031046B" w:rsidRDefault="0031046B" w:rsidP="0031046B">
            <w:pPr>
              <w:numPr>
                <w:ilvl w:val="0"/>
                <w:numId w:val="1"/>
              </w:numPr>
              <w:spacing w:after="200" w:line="276" w:lineRule="auto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31046B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1046B" w:rsidRPr="0031046B" w:rsidRDefault="0031046B" w:rsidP="0031046B">
            <w:pPr>
              <w:numPr>
                <w:ilvl w:val="0"/>
                <w:numId w:val="1"/>
              </w:numPr>
              <w:spacing w:after="200" w:line="276" w:lineRule="auto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31046B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31046B" w:rsidRPr="0031046B" w:rsidRDefault="0031046B" w:rsidP="0031046B">
      <w:pPr>
        <w:ind w:left="0" w:firstLine="709"/>
        <w:rPr>
          <w:rFonts w:eastAsia="Times New Roman"/>
          <w:i/>
          <w:color w:val="000000"/>
          <w:sz w:val="8"/>
          <w:szCs w:val="24"/>
        </w:rPr>
      </w:pPr>
    </w:p>
    <w:p w:rsidR="0031046B" w:rsidRPr="0031046B" w:rsidRDefault="0031046B" w:rsidP="0031046B">
      <w:pPr>
        <w:ind w:left="0" w:firstLine="709"/>
        <w:rPr>
          <w:rFonts w:eastAsia="Times New Roman"/>
          <w:color w:val="000000"/>
          <w:sz w:val="8"/>
          <w:szCs w:val="24"/>
          <w:lang w:eastAsia="ru-RU"/>
        </w:rPr>
      </w:pPr>
    </w:p>
    <w:p w:rsidR="0031046B" w:rsidRPr="0031046B" w:rsidRDefault="0031046B" w:rsidP="0031046B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1046B">
        <w:rPr>
          <w:rFonts w:eastAsia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  <w:r w:rsidRPr="0031046B">
        <w:rPr>
          <w:rFonts w:eastAsia="Times New Roman"/>
          <w:color w:val="000000"/>
          <w:sz w:val="28"/>
          <w:szCs w:val="28"/>
          <w:lang w:eastAsia="ru-RU"/>
        </w:rPr>
        <w:t>- дидактические (таблицы, схемы, плакаты, раздаточный материал.);</w:t>
      </w:r>
    </w:p>
    <w:p w:rsidR="00912C21" w:rsidRDefault="0031046B" w:rsidP="0031046B">
      <w:pPr>
        <w:ind w:left="0" w:firstLine="709"/>
      </w:pPr>
      <w:r w:rsidRPr="0031046B">
        <w:rPr>
          <w:rFonts w:eastAsia="Times New Roman"/>
          <w:color w:val="000000"/>
          <w:sz w:val="28"/>
          <w:szCs w:val="28"/>
          <w:lang w:eastAsia="ru-RU"/>
        </w:rPr>
        <w:t>-</w:t>
      </w:r>
      <w:proofErr w:type="gramStart"/>
      <w:r w:rsidRPr="0031046B">
        <w:rPr>
          <w:rFonts w:eastAsia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31046B">
        <w:rPr>
          <w:rFonts w:eastAsia="Times New Roman"/>
          <w:color w:val="000000"/>
          <w:sz w:val="28"/>
          <w:szCs w:val="28"/>
          <w:lang w:eastAsia="ru-RU"/>
        </w:rPr>
        <w:t xml:space="preserve"> - мультимедийный проектор</w:t>
      </w:r>
      <w:bookmarkStart w:id="0" w:name="_GoBack"/>
      <w:bookmarkEnd w:id="0"/>
    </w:p>
    <w:sectPr w:rsidR="00912C21" w:rsidSect="002C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850"/>
    <w:rsid w:val="002C0F61"/>
    <w:rsid w:val="0031046B"/>
    <w:rsid w:val="00615C8B"/>
    <w:rsid w:val="00912C21"/>
    <w:rsid w:val="00D4108A"/>
    <w:rsid w:val="00F3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B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B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Company>ОрГМА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2019-07-03T04:52:00Z</dcterms:created>
  <dcterms:modified xsi:type="dcterms:W3CDTF">2023-10-21T16:47:00Z</dcterms:modified>
</cp:coreProperties>
</file>