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E2" w:rsidRPr="000443E2" w:rsidRDefault="000443E2" w:rsidP="000443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8. </w:t>
      </w:r>
      <w:r w:rsidRPr="000443E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Эпоха Петра I. Становление Российской империи и его историческое значение. Внутриполитический кризис в России середины XVIII в. и его последствия.</w:t>
      </w:r>
    </w:p>
    <w:p w:rsidR="000443E2" w:rsidRPr="000443E2" w:rsidRDefault="000443E2" w:rsidP="000443E2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443E2" w:rsidRPr="000443E2" w:rsidRDefault="000443E2" w:rsidP="00044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E2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0443E2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0443E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0443E2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0443E2" w:rsidRPr="000443E2" w:rsidRDefault="000443E2" w:rsidP="000443E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/>
          <w:sz w:val="28"/>
          <w:szCs w:val="28"/>
        </w:rPr>
        <w:t>устный опрос</w:t>
      </w:r>
      <w:r w:rsidRPr="000443E2">
        <w:rPr>
          <w:rFonts w:ascii="Times New Roman" w:hAnsi="Times New Roman"/>
          <w:color w:val="000000"/>
          <w:sz w:val="28"/>
          <w:szCs w:val="28"/>
        </w:rPr>
        <w:t>;</w:t>
      </w:r>
    </w:p>
    <w:p w:rsidR="000443E2" w:rsidRPr="000443E2" w:rsidRDefault="000443E2" w:rsidP="000443E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0443E2" w:rsidRPr="000443E2" w:rsidRDefault="000443E2" w:rsidP="000443E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/>
          <w:sz w:val="28"/>
          <w:szCs w:val="28"/>
        </w:rPr>
        <w:t>доклады;</w:t>
      </w:r>
    </w:p>
    <w:p w:rsidR="000443E2" w:rsidRPr="000443E2" w:rsidRDefault="000443E2" w:rsidP="000443E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/>
          <w:sz w:val="28"/>
          <w:szCs w:val="28"/>
        </w:rPr>
        <w:t>практические задания;</w:t>
      </w:r>
    </w:p>
    <w:p w:rsidR="000443E2" w:rsidRPr="000443E2" w:rsidRDefault="000443E2" w:rsidP="000443E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0443E2" w:rsidRPr="000443E2" w:rsidRDefault="000443E2" w:rsidP="000443E2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443E2" w:rsidRPr="000443E2" w:rsidRDefault="000443E2" w:rsidP="00044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E2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0443E2" w:rsidRPr="000443E2" w:rsidRDefault="000443E2" w:rsidP="000443E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443E2" w:rsidRPr="000443E2" w:rsidRDefault="000443E2" w:rsidP="000443E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в конце XVII в: предпосылки петровских преобразований.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 Политические и социально-экономические Реформы Петра I.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Внешняя политика России конца XVII в. первой четверти XVIII в. её место и роль в мировой политике. 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характер, хронология и содержание эпохи «дворцовых переворотов». Роль российского дворянства в защите государственных интересов.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Колониальная политика стран Европы и России XVII – XVIII вв.: цели, содержание, главные отличия.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43E2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0443E2" w:rsidRPr="000443E2" w:rsidRDefault="000443E2" w:rsidP="000443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Военно-политический союз, протекционизм, меркантилизм, сенат, коллегии, рекрутская повинность, империя, синод, </w:t>
      </w:r>
      <w:proofErr w:type="spellStart"/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кумпанства</w:t>
      </w:r>
      <w:proofErr w:type="spellEnd"/>
      <w:r w:rsidRPr="000443E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ассамблея, мануфактура, подушная подать, губерния, абсолютная монархия, майорат, посадские люди, приписные крестьяне, посессионные крестьяне, ратуша, Верховный Тайный Совет, секуляризация, урбанизация, дворцовый переворот, фаворитизм.</w:t>
      </w:r>
      <w:proofErr w:type="gramEnd"/>
    </w:p>
    <w:p w:rsidR="000443E2" w:rsidRPr="000443E2" w:rsidRDefault="000443E2" w:rsidP="000443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43E2" w:rsidRPr="000443E2" w:rsidRDefault="000443E2" w:rsidP="000443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0443E2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1.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>Образ Петра I в литературе и кино.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2.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>Дипломатия России в эпоху Петра I.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3.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>Развитие русского военного искусства при Петре I.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4.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>Развитие образования при Петре I.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5.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 xml:space="preserve">Народные восстания первой четверти XVIII </w:t>
      </w:r>
      <w:proofErr w:type="gramStart"/>
      <w:r w:rsidRPr="000443E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443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6.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>Культурные преобразования Петра I.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7.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 xml:space="preserve"> Участие европейских государств во внутренней политике России середины XVIII </w:t>
      </w:r>
      <w:proofErr w:type="gramStart"/>
      <w:r w:rsidRPr="000443E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443E2">
        <w:rPr>
          <w:rFonts w:ascii="Times New Roman" w:eastAsia="Calibri" w:hAnsi="Times New Roman" w:cs="Times New Roman"/>
          <w:sz w:val="28"/>
          <w:szCs w:val="28"/>
        </w:rPr>
        <w:t xml:space="preserve">. Тайная дипломатия. 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8.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 xml:space="preserve"> М.В. Ломоносов – первый русский учёный. </w:t>
      </w:r>
    </w:p>
    <w:p w:rsidR="000443E2" w:rsidRPr="000443E2" w:rsidRDefault="000443E2" w:rsidP="000443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E2">
        <w:rPr>
          <w:rFonts w:ascii="Times New Roman" w:eastAsia="Calibri" w:hAnsi="Times New Roman" w:cs="Times New Roman"/>
          <w:sz w:val="28"/>
          <w:szCs w:val="28"/>
        </w:rPr>
        <w:t>9.</w:t>
      </w:r>
      <w:r w:rsidRPr="000443E2">
        <w:rPr>
          <w:rFonts w:ascii="Times New Roman" w:eastAsia="Calibri" w:hAnsi="Times New Roman" w:cs="Times New Roman"/>
          <w:sz w:val="28"/>
          <w:szCs w:val="28"/>
        </w:rPr>
        <w:tab/>
        <w:t xml:space="preserve"> Основание </w:t>
      </w:r>
      <w:proofErr w:type="gramStart"/>
      <w:r w:rsidRPr="000443E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443E2">
        <w:rPr>
          <w:rFonts w:ascii="Times New Roman" w:eastAsia="Calibri" w:hAnsi="Times New Roman" w:cs="Times New Roman"/>
          <w:sz w:val="28"/>
          <w:szCs w:val="28"/>
        </w:rPr>
        <w:t>. Оренбурга.</w:t>
      </w:r>
    </w:p>
    <w:p w:rsidR="000443E2" w:rsidRPr="000443E2" w:rsidRDefault="000443E2" w:rsidP="000443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3E2" w:rsidRPr="000443E2" w:rsidRDefault="000443E2" w:rsidP="000443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0443E2" w:rsidRPr="000443E2" w:rsidRDefault="000443E2" w:rsidP="000443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таблицу </w:t>
      </w:r>
      <w:r w:rsidRPr="000443E2">
        <w:rPr>
          <w:rFonts w:ascii="Times New Roman" w:hAnsi="Times New Roman" w:cs="Times New Roman"/>
          <w:sz w:val="28"/>
          <w:szCs w:val="28"/>
        </w:rPr>
        <w:t>«Реформы Петра</w:t>
      </w:r>
      <w:proofErr w:type="gramStart"/>
      <w:r w:rsidRPr="000443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443E2">
        <w:rPr>
          <w:rFonts w:ascii="Times New Roman" w:hAnsi="Times New Roman" w:cs="Times New Roman"/>
          <w:sz w:val="28"/>
          <w:szCs w:val="28"/>
        </w:rPr>
        <w:t>»</w:t>
      </w:r>
    </w:p>
    <w:p w:rsidR="000443E2" w:rsidRPr="000443E2" w:rsidRDefault="000443E2" w:rsidP="000443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9463"/>
      </w:tblGrid>
      <w:tr w:rsidR="000443E2" w:rsidRPr="000443E2" w:rsidTr="00743E56">
        <w:trPr>
          <w:trHeight w:val="480"/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0443E2">
              <w:rPr>
                <w:b/>
                <w:sz w:val="28"/>
                <w:szCs w:val="28"/>
              </w:rPr>
              <w:t xml:space="preserve">Политические реформы Петра </w:t>
            </w:r>
            <w:r w:rsidRPr="000443E2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443E2" w:rsidRPr="000443E2" w:rsidTr="00743E56">
        <w:trPr>
          <w:trHeight w:val="480"/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0443E2" w:rsidRPr="000443E2" w:rsidTr="00743E56">
        <w:trPr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0443E2">
              <w:rPr>
                <w:b/>
                <w:sz w:val="28"/>
                <w:szCs w:val="28"/>
              </w:rPr>
              <w:t xml:space="preserve">Экономические реформы Петра </w:t>
            </w:r>
            <w:r w:rsidRPr="000443E2">
              <w:rPr>
                <w:b/>
                <w:sz w:val="28"/>
                <w:szCs w:val="28"/>
                <w:lang w:val="en-US"/>
              </w:rPr>
              <w:t>I</w:t>
            </w:r>
            <w:r w:rsidRPr="000443E2">
              <w:rPr>
                <w:b/>
                <w:sz w:val="28"/>
                <w:szCs w:val="28"/>
              </w:rPr>
              <w:t>:</w:t>
            </w:r>
          </w:p>
        </w:tc>
      </w:tr>
      <w:tr w:rsidR="000443E2" w:rsidRPr="000443E2" w:rsidTr="00743E56">
        <w:trPr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0443E2" w:rsidRPr="000443E2" w:rsidTr="00743E56">
        <w:trPr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0443E2">
              <w:rPr>
                <w:b/>
                <w:sz w:val="28"/>
                <w:szCs w:val="28"/>
              </w:rPr>
              <w:t xml:space="preserve">Социальные реформы Петра </w:t>
            </w:r>
            <w:r w:rsidRPr="000443E2">
              <w:rPr>
                <w:b/>
                <w:sz w:val="28"/>
                <w:szCs w:val="28"/>
                <w:lang w:val="en-US"/>
              </w:rPr>
              <w:t>I</w:t>
            </w:r>
            <w:r w:rsidRPr="000443E2">
              <w:rPr>
                <w:b/>
                <w:sz w:val="28"/>
                <w:szCs w:val="28"/>
              </w:rPr>
              <w:t>:</w:t>
            </w:r>
          </w:p>
        </w:tc>
      </w:tr>
      <w:tr w:rsidR="000443E2" w:rsidRPr="000443E2" w:rsidTr="00743E56">
        <w:trPr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0443E2" w:rsidRPr="000443E2" w:rsidTr="00743E56">
        <w:trPr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0443E2">
              <w:rPr>
                <w:b/>
                <w:sz w:val="28"/>
                <w:szCs w:val="28"/>
              </w:rPr>
              <w:t>Культурные реформы Петра I:</w:t>
            </w:r>
          </w:p>
        </w:tc>
      </w:tr>
      <w:tr w:rsidR="000443E2" w:rsidRPr="000443E2" w:rsidTr="00743E56">
        <w:trPr>
          <w:jc w:val="center"/>
        </w:trPr>
        <w:tc>
          <w:tcPr>
            <w:tcW w:w="10312" w:type="dxa"/>
          </w:tcPr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443E2" w:rsidRPr="000443E2" w:rsidRDefault="000443E2" w:rsidP="000443E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43E2" w:rsidRPr="000443E2" w:rsidRDefault="000443E2" w:rsidP="000443E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3E2" w:rsidRPr="000443E2" w:rsidRDefault="000443E2" w:rsidP="000443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43E2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1. К причинам Петровских преобразований относят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стремление получить финансовую помощь от Англии и Голландии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необходимость отмены местничества и системы кормлений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стремление к объединению всех русских земель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необходимость преодоления Россией отставания от западных стран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 Предприятия, которые появились в России в </w:t>
      </w: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XVII</w:t>
      </w: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и </w:t>
      </w:r>
      <w:proofErr w:type="gramStart"/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были</w:t>
      </w:r>
      <w:proofErr w:type="gramEnd"/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основаны на разделении труда и ручной ремесленной технике, назывались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мануфактурами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комбинатами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заводами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фабриками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3. В результате указа о единонаследии 1714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изменился принцип престолонаследия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дворянство лишилось привилегированного положения в обществе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В) был введен порядок занятия должностей по знатности происхождения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Г) была упразднена разница между дворянским и боярским землевладениями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Губернская реформа 1708 г. предполагала деление страны </w:t>
      </w:r>
      <w:proofErr w:type="gramStart"/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</w:t>
      </w:r>
      <w:proofErr w:type="gramEnd"/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губернии, провинц</w:t>
      </w:r>
      <w:proofErr w:type="gramStart"/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ии и уе</w:t>
      </w:r>
      <w:proofErr w:type="gramEnd"/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зды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</w:t>
      </w: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губерн</w:t>
      </w:r>
      <w:proofErr w:type="gramStart"/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ии и уе</w:t>
      </w:r>
      <w:proofErr w:type="gramEnd"/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зды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губернии, станы и волости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губернии и волости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5. 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Правительствующий Сенат заменил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совет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приказы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Боярскую думу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Кабинет министров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Военная реформа Петра I заключалась в создании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регулярной армии на основе рекрутских наборов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</w:t>
      </w: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стрелецкого войска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специализированных полков: пехотных, кавалерийских, артиллерийских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армии на основе всеобщей воинской повинности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Новой столицей при Петре 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стал город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Киев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Москва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Pr="000443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Санкт-Петербург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Новгород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8. Патриаршество было заменено Духовной коллегией (Синодом) </w:t>
      </w:r>
      <w:proofErr w:type="gramStart"/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proofErr w:type="gramEnd"/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1701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1711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1721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1724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9. Табель о рангах, определявшая систему чинов и порядок продвижения на государственной службе, была введена в действие </w:t>
      </w:r>
      <w:proofErr w:type="gramStart"/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proofErr w:type="gramEnd"/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1719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1720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1721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1722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10. Указ о единонаследии Петра </w:t>
      </w:r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>I</w:t>
      </w:r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был принят </w:t>
      </w:r>
      <w:proofErr w:type="gramStart"/>
      <w:r w:rsidRPr="000443E2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proofErr w:type="gramEnd"/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1709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1711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В) 1714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Г) 1721 г.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11. К мероприятиям, проведенным при Петре 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относится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введение подушной подати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введение набора даточных людей в полки нового строя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введение </w:t>
      </w:r>
      <w:proofErr w:type="spellStart"/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пятинных</w:t>
      </w:r>
      <w:proofErr w:type="spellEnd"/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принятие Соборного Уложения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12. Рекрутская повинность в 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XVIII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представляла собой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способ комплектования русской армии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обязанность крестьян работать в хозяйстве помещика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прикрепление крепостных крестьян к мануфактурам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способ формирования рынка рабочий силы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13. Россия получила выход к Балтийскому морю в результате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Ливонской войны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Смоленской войны 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Семилетней войны 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Северной войны 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14. Основной налог с податных сословий, введенный Петром </w:t>
      </w: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</w:t>
      </w: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начале</w:t>
      </w: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XVIII</w:t>
      </w:r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  <w:r w:rsidRPr="000443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., назывался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подушная подать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выкупные платежи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В) оброк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пожилое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15. Сенат при Петре </w:t>
      </w:r>
      <w:r w:rsidRPr="000443E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А) избирался из дворян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Б) возглавлялся обер-прокурором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назначался царем 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3E2">
        <w:rPr>
          <w:rFonts w:ascii="Times New Roman" w:eastAsia="Calibri" w:hAnsi="Times New Roman" w:cs="Times New Roman"/>
          <w:sz w:val="28"/>
          <w:szCs w:val="28"/>
          <w:lang w:eastAsia="en-US"/>
        </w:rPr>
        <w:t>Г) стал высшим законодательным органом</w:t>
      </w:r>
    </w:p>
    <w:p w:rsidR="000443E2" w:rsidRPr="000443E2" w:rsidRDefault="000443E2" w:rsidP="000443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5EC" w:rsidRPr="000443E2" w:rsidRDefault="00C725EC" w:rsidP="00044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5EC" w:rsidRPr="0004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3E2"/>
    <w:rsid w:val="000443E2"/>
    <w:rsid w:val="00C7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0443E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0443E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2021-09-04T10:04:00Z</dcterms:created>
  <dcterms:modified xsi:type="dcterms:W3CDTF">2021-09-04T10:04:00Z</dcterms:modified>
</cp:coreProperties>
</file>