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9E" w:rsidRDefault="00F21B9E" w:rsidP="00F21B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Факультативная дисциплина «Лабораторная диагностика инфекционных заболеваний»</w:t>
      </w:r>
    </w:p>
    <w:p w:rsidR="00F21B9E" w:rsidRDefault="00F21B9E" w:rsidP="00F21B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B9E" w:rsidRDefault="00F21B9E" w:rsidP="00F21B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5.2.2. </w:t>
      </w:r>
      <w:r w:rsidRPr="00A118A8">
        <w:rPr>
          <w:rFonts w:ascii="Times New Roman" w:hAnsi="Times New Roman" w:cs="Times New Roman"/>
          <w:b/>
          <w:sz w:val="24"/>
          <w:szCs w:val="24"/>
        </w:rPr>
        <w:t>Банк тестовых заданий</w:t>
      </w:r>
    </w:p>
    <w:p w:rsidR="00F21B9E" w:rsidRPr="00A118A8" w:rsidRDefault="00F21B9E" w:rsidP="00F21B9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Материалом для лабораторного исследования при ботулизме может быть все перечисленное,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Кала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Мочи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Крови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Содержимого желудка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 Желчи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Основным методом лабораторной диагностики ботулизма является:      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Выделение возбудителя от больного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Реакция нейтрализации на животных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Реакция связывания комплемента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Иммуноферментный анализ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ПЦР-диагностика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Основной диагностический критерий при 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ротавирусном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гастроэнтерите: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Клиническая картина заболевания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Эпидемиологические данные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Лабораторное подтверждение этиологии гастроэнтерита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Исключение гастроэнтеритов другой этиологии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Для бактериологической диагностики брюшного тифа исследуют все перечисленное,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Костного мозга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Крови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Спинномозговой жидкости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Желчи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 Испражнений и мочи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Диагноз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эшерихиоза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может быть установлен на основании: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Повышения температуры, интоксикации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2 Наличия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гастроэнтерического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синдрома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Эпидемиологических данных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Бактериологического подтверждения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Копрологического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исследования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Лабораторная диагностика гриппа осуществляется всеми перечисленными методами,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Культивации вируса в культуре ткани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РСК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РНГА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Иммунофлюоресцениции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семи перечисленными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ДВС-синдром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развивающийся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 xml:space="preserve"> при гриппе характеризуется: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Повышением содержания в крови продуктов деградации фибриногена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Наличием в крови растворимых комплексов мономеров фибрина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3 Усилением образования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антитромбина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в фазе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гиперкоагуляции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4 Наличием в крови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лизосомальных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ферментов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сем перечисленным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 xml:space="preserve">ля лабораторной диагностики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герпетической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инфекции применяют все перечисленное, кроме: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Выделения вируса из пораженных органов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Цитологического исследования мазков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Иммунологических методов определения антигена в сыворотке крови  и ликворе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Посева крови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5 Выявления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вирусспецифических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иммуноглобулинов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26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Для достоверного подтверждения диагноза менингококкового менингита необходимы:</w:t>
      </w:r>
      <w:proofErr w:type="gramEnd"/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Мазак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из ротоглотки и носа на менингококк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Посев крови на менингококк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3 Бактериоскопия толстой капли крови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Бактериоскопия ликвора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 Посев ликвора на менингококк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26DFE">
        <w:rPr>
          <w:rFonts w:ascii="Times New Roman" w:hAnsi="Times New Roman" w:cs="Times New Roman"/>
          <w:sz w:val="24"/>
          <w:szCs w:val="24"/>
        </w:rPr>
        <w:t xml:space="preserve"> Характеристика ликвора при менингококковом менингите: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Скорость вытекания ликвора повышена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Белесоватый или зеленый, мутный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Цитоз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- четырехзначный и выше,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нейтрофильный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Диссоциация клеточно-белковая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се перечисленное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26DFE">
        <w:rPr>
          <w:rFonts w:ascii="Times New Roman" w:hAnsi="Times New Roman" w:cs="Times New Roman"/>
          <w:sz w:val="24"/>
          <w:szCs w:val="24"/>
        </w:rPr>
        <w:t xml:space="preserve"> Возбудитель </w:t>
      </w:r>
      <w:proofErr w:type="spellStart"/>
      <w:r w:rsidRPr="00026DFE">
        <w:rPr>
          <w:rFonts w:ascii="Times New Roman" w:hAnsi="Times New Roman" w:cs="Times New Roman"/>
          <w:sz w:val="24"/>
          <w:szCs w:val="24"/>
        </w:rPr>
        <w:t>микоплазменной</w:t>
      </w:r>
      <w:proofErr w:type="spellEnd"/>
      <w:r w:rsidRPr="00026DFE">
        <w:rPr>
          <w:rFonts w:ascii="Times New Roman" w:hAnsi="Times New Roman" w:cs="Times New Roman"/>
          <w:sz w:val="24"/>
          <w:szCs w:val="24"/>
        </w:rPr>
        <w:t xml:space="preserve"> инфекции может быть выделен из всех перечисленных биологических сред, 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: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1 Крови (балл - 9)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2 Мокроты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lastRenderedPageBreak/>
        <w:t>3 Глоточного соскоба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4 Носового секрета (балл - 0)</w:t>
      </w:r>
    </w:p>
    <w:p w:rsidR="00F21B9E" w:rsidRPr="00026DFE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6DF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26DF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26DFE">
        <w:rPr>
          <w:rFonts w:ascii="Times New Roman" w:hAnsi="Times New Roman" w:cs="Times New Roman"/>
          <w:sz w:val="24"/>
          <w:szCs w:val="24"/>
        </w:rPr>
        <w:t>з легочной ткани умерших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Бактериологическому исследованию при холере подлежит все перечисленное, 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Рвотных масс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Фекалий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Крови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Желчи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 Отрезков тонкой кишки трупов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Из серологических реакций для диагностики хронического бруцеллеза применяют следующие:</w:t>
      </w:r>
      <w:proofErr w:type="gramEnd"/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Агглютинации (Райта)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Непрямой гемагглютинации (РНГА)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Хеддльсона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Кумбса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перечисленные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Для диагностики туляремии применяют: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Серологические реакции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Кожно-аллергическую пробу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Биологический метод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указанные методы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перечисленное не соответствует истине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Для диагностики лептоспироза применяют следующие лабораторные исследования, 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Обнаружения лептоспир в крови и моче при микроскопии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Заражения лабораторных животных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Серологических реакций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Посева крови, мочи, ликвора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5 Определения клиренса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Для диагностики токсоплазмоза применяются следующие серологические реакции: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Связывания комплемента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2 Непрямой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иммунофлюоресценции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Иммуноферментный анализ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lastRenderedPageBreak/>
        <w:t>4 Непрямой гемагглютинации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перечисленное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Вирус полиомиелита можно обнаружить во всех перечисленных матер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9738B">
        <w:rPr>
          <w:rFonts w:ascii="Times New Roman" w:hAnsi="Times New Roman" w:cs="Times New Roman"/>
          <w:sz w:val="24"/>
          <w:szCs w:val="24"/>
        </w:rPr>
        <w:t xml:space="preserve">алах, 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Кала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Крови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Мочи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Носоглоточных смывов и ликвора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 Трупного материала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Какая структурная единица ВИЧ обеспечивает синтез ДНК на матрице РНК вируса: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Внешний белок мембраны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Белки сердцевины вириона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Обратная транскриптаза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трансмембранный белок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верно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Белок - рецептор СД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 xml:space="preserve"> содержат все перечисленные клетки, кроме: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Т-лимфоциты-хелперы (Т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)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Макрофаги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Моноциты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Эритроциты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Т-лимфоциты-супрессоры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(Т8)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Вирус в заражающей дозе содержится в биологических жидкостях: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Кровь, моча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Слюна, ликвор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Грудное молоко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Сперма, вагинальная слизь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о всех перечисленных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Основные методы диагностики ВИЧ-инфекции: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Выявление специфических антител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Выявление вирусных антигенов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3 Определение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провирусной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ДНК, геномной РНК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Выделение вируса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973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9738B">
        <w:rPr>
          <w:rFonts w:ascii="Times New Roman" w:hAnsi="Times New Roman" w:cs="Times New Roman"/>
          <w:sz w:val="24"/>
          <w:szCs w:val="24"/>
        </w:rPr>
        <w:t>се перечисленное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99738B">
        <w:rPr>
          <w:rFonts w:ascii="Times New Roman" w:hAnsi="Times New Roman" w:cs="Times New Roman"/>
          <w:sz w:val="24"/>
          <w:szCs w:val="24"/>
        </w:rPr>
        <w:t xml:space="preserve"> Для выделения возбудителя у больного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сальмонелезом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целесообразно исследовать: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кровь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2 испражнения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рвотные массы и желчь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4 мочу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5 все перечисленное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99738B">
        <w:rPr>
          <w:rFonts w:ascii="Times New Roman" w:hAnsi="Times New Roman" w:cs="Times New Roman"/>
          <w:sz w:val="24"/>
          <w:szCs w:val="24"/>
        </w:rPr>
        <w:t xml:space="preserve"> Укажите характерные гематологические изменения при коклюше у детей: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1 лейкопения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2 лейкоцитоз с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нейтрофильным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сдвигом влево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>3 лейкоцитоз с лимфоцитозом (балл - 9)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моноцитоз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738B">
        <w:rPr>
          <w:rFonts w:ascii="Times New Roman" w:hAnsi="Times New Roman" w:cs="Times New Roman"/>
          <w:sz w:val="24"/>
          <w:szCs w:val="24"/>
        </w:rPr>
        <w:t xml:space="preserve">5 наличие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38B">
        <w:rPr>
          <w:rFonts w:ascii="Times New Roman" w:hAnsi="Times New Roman" w:cs="Times New Roman"/>
          <w:sz w:val="24"/>
          <w:szCs w:val="24"/>
        </w:rPr>
        <w:t>мононуклеаров</w:t>
      </w:r>
      <w:proofErr w:type="spellEnd"/>
      <w:r w:rsidRPr="0099738B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99738B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25464D">
        <w:rPr>
          <w:rFonts w:ascii="Times New Roman" w:hAnsi="Times New Roman" w:cs="Times New Roman"/>
          <w:sz w:val="24"/>
          <w:szCs w:val="24"/>
        </w:rPr>
        <w:t xml:space="preserve"> Основные лабораторные показатели цитолиза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>: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1 Повышение уровня билирубина сыворотки крови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2 Повышение активности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Гипоальбуминемия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Гипопротромбинемия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>се перечисленное (балл - 9)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25464D">
        <w:rPr>
          <w:rFonts w:ascii="Times New Roman" w:hAnsi="Times New Roman" w:cs="Times New Roman"/>
          <w:sz w:val="24"/>
          <w:szCs w:val="24"/>
        </w:rPr>
        <w:t xml:space="preserve"> Острый вирусный гепатит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верифицируется: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1 Повышением активности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2 Повышением уровня билирубина сыворотки крови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3 Обнаружением антител к вирусу гепатита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- 9)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4 Обнаружением антител к вирусу гепатита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5 Повышением уровня иммуноглобулинов основных классов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5464D">
        <w:rPr>
          <w:rFonts w:ascii="Times New Roman" w:hAnsi="Times New Roman" w:cs="Times New Roman"/>
          <w:sz w:val="24"/>
          <w:szCs w:val="24"/>
        </w:rPr>
        <w:t xml:space="preserve"> В острой желтушной стадии вирусного гепатита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крови можно обнаружить все перечисленные маркеры, кроме: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1 HBs-антиген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AntiHBcor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класса М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3 HBe-антиген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AntiHBs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- 9)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AntiHBe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25464D">
        <w:rPr>
          <w:rFonts w:ascii="Times New Roman" w:hAnsi="Times New Roman" w:cs="Times New Roman"/>
          <w:sz w:val="24"/>
          <w:szCs w:val="24"/>
        </w:rPr>
        <w:t xml:space="preserve"> При хроническом вирусном гепатите D обнаруживают: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1 HBs-антиген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2 HDV-РНК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Анти-дельта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класса М и G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lastRenderedPageBreak/>
        <w:t>4 Дельта-антиген в печени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>се перечисленное (балл - 9)</w:t>
      </w: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25464D">
        <w:rPr>
          <w:rFonts w:ascii="Times New Roman" w:hAnsi="Times New Roman" w:cs="Times New Roman"/>
          <w:sz w:val="24"/>
          <w:szCs w:val="24"/>
        </w:rPr>
        <w:t xml:space="preserve"> Острый вирусный гепатит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верифицируется: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 xml:space="preserve">1 повышением активности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2 повышением уровня билирубина сыворотки крови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3 обнаружением антител к вирусу гепатита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IgМ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- 9)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4 обнаружением антител к вирусу гепатита</w:t>
      </w:r>
      <w:proofErr w:type="gramStart"/>
      <w:r w:rsidRPr="0025464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5464D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Pr="0025464D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25464D">
        <w:rPr>
          <w:rFonts w:ascii="Times New Roman" w:hAnsi="Times New Roman" w:cs="Times New Roman"/>
          <w:sz w:val="24"/>
          <w:szCs w:val="24"/>
        </w:rPr>
        <w:t xml:space="preserve">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64D">
        <w:rPr>
          <w:rFonts w:ascii="Times New Roman" w:hAnsi="Times New Roman" w:cs="Times New Roman"/>
          <w:sz w:val="24"/>
          <w:szCs w:val="24"/>
        </w:rPr>
        <w:t>5 повышением уровня иммуноглобулинов основных классов (балл - 0)</w:t>
      </w:r>
    </w:p>
    <w:p w:rsidR="00F21B9E" w:rsidRPr="0025464D" w:rsidRDefault="00F21B9E" w:rsidP="00F21B9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1B9E" w:rsidRDefault="00F21B9E" w:rsidP="00F21B9E">
      <w:pPr>
        <w:pStyle w:val="Default"/>
        <w:rPr>
          <w:b/>
          <w:bCs/>
          <w:sz w:val="18"/>
          <w:szCs w:val="18"/>
        </w:rPr>
      </w:pPr>
    </w:p>
    <w:p w:rsidR="00F21B9E" w:rsidRPr="00F462B6" w:rsidRDefault="00F21B9E" w:rsidP="00F21B9E">
      <w:pPr>
        <w:rPr>
          <w:rStyle w:val="a3"/>
          <w:rFonts w:eastAsia="Courier New"/>
          <w:b w:val="0"/>
          <w:bCs w:val="0"/>
        </w:rPr>
      </w:pPr>
    </w:p>
    <w:p w:rsidR="00F21B9E" w:rsidRPr="00066770" w:rsidRDefault="00F21B9E" w:rsidP="00F21B9E">
      <w:pPr>
        <w:ind w:firstLine="709"/>
        <w:jc w:val="center"/>
        <w:rPr>
          <w:b/>
          <w:color w:val="000000"/>
        </w:rPr>
      </w:pPr>
    </w:p>
    <w:p w:rsidR="00F21B9E" w:rsidRPr="00066770" w:rsidRDefault="00F21B9E" w:rsidP="00F21B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66770">
        <w:rPr>
          <w:b/>
          <w:bCs/>
          <w:color w:val="000000"/>
        </w:rPr>
        <w:t>Критерии  оценки тестирования: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3"/>
        <w:gridCol w:w="4828"/>
      </w:tblGrid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>%</w:t>
            </w: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Оценка </w:t>
            </w:r>
          </w:p>
        </w:tc>
      </w:tr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До 70 </w:t>
            </w: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Неудовлетворительной </w:t>
            </w:r>
          </w:p>
        </w:tc>
      </w:tr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>71-79</w:t>
            </w: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Удовлетворительно </w:t>
            </w:r>
          </w:p>
        </w:tc>
      </w:tr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>80-89</w:t>
            </w: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Хорошо </w:t>
            </w:r>
          </w:p>
        </w:tc>
      </w:tr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>90-100</w:t>
            </w: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  <w:r w:rsidRPr="00066770">
              <w:rPr>
                <w:bCs/>
                <w:i/>
                <w:color w:val="000000"/>
              </w:rPr>
              <w:t xml:space="preserve">Отлично </w:t>
            </w:r>
          </w:p>
        </w:tc>
      </w:tr>
      <w:tr w:rsidR="00F21B9E" w:rsidRPr="00066770" w:rsidTr="002C4165">
        <w:tc>
          <w:tcPr>
            <w:tcW w:w="4926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  <w:tc>
          <w:tcPr>
            <w:tcW w:w="4927" w:type="dxa"/>
          </w:tcPr>
          <w:p w:rsidR="00F21B9E" w:rsidRPr="00066770" w:rsidRDefault="00F21B9E" w:rsidP="002C416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</w:rPr>
            </w:pPr>
          </w:p>
        </w:tc>
      </w:tr>
    </w:tbl>
    <w:p w:rsidR="00F21B9E" w:rsidRPr="00066770" w:rsidRDefault="00F21B9E" w:rsidP="00F21B9E">
      <w:pPr>
        <w:rPr>
          <w:i/>
        </w:rPr>
      </w:pPr>
    </w:p>
    <w:p w:rsidR="00F21B9E" w:rsidRPr="00066770" w:rsidRDefault="00F21B9E" w:rsidP="00F21B9E">
      <w:pPr>
        <w:rPr>
          <w:i/>
        </w:rPr>
      </w:pPr>
    </w:p>
    <w:p w:rsidR="006C04AB" w:rsidRDefault="006C04AB"/>
    <w:sectPr w:rsidR="006C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F21B9E"/>
    <w:rsid w:val="006C04AB"/>
    <w:rsid w:val="00F2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Колонтитул"/>
    <w:basedOn w:val="a0"/>
    <w:rsid w:val="00F21B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Plain Text"/>
    <w:basedOn w:val="a"/>
    <w:link w:val="a5"/>
    <w:uiPriority w:val="99"/>
    <w:rsid w:val="00F21B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F21B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6915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2016-01-24T11:34:00Z</dcterms:created>
  <dcterms:modified xsi:type="dcterms:W3CDTF">2016-01-24T11:35:00Z</dcterms:modified>
</cp:coreProperties>
</file>