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733F53" w:rsidP="00A25EE3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>ЛУЧЕВАЯ ДИАГНОСТИКА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3645C1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31.05.01</w:t>
      </w:r>
      <w:r w:rsidR="0015725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Лечебное дело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</w:t>
      </w:r>
      <w:r w:rsidR="00444F4D">
        <w:rPr>
          <w:color w:val="000000"/>
          <w:sz w:val="24"/>
          <w:szCs w:val="24"/>
        </w:rPr>
        <w:t>з</w:t>
      </w:r>
      <w:r w:rsidR="000D0B28">
        <w:rPr>
          <w:color w:val="000000"/>
          <w:sz w:val="24"/>
          <w:szCs w:val="24"/>
        </w:rPr>
        <w:t>ования по специальности 31.05.0</w:t>
      </w:r>
      <w:r w:rsidR="003645C1">
        <w:rPr>
          <w:color w:val="000000"/>
          <w:sz w:val="24"/>
          <w:szCs w:val="24"/>
        </w:rPr>
        <w:t>1</w:t>
      </w:r>
      <w:r w:rsidRPr="00A25EE3">
        <w:rPr>
          <w:color w:val="000000"/>
          <w:sz w:val="24"/>
          <w:szCs w:val="24"/>
        </w:rPr>
        <w:t xml:space="preserve"> «</w:t>
      </w:r>
      <w:r w:rsidR="003645C1">
        <w:rPr>
          <w:color w:val="000000"/>
          <w:sz w:val="24"/>
          <w:szCs w:val="24"/>
        </w:rPr>
        <w:t>Лечебное дело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Default="001171BA" w:rsidP="00F5136B">
      <w:pPr>
        <w:ind w:firstLine="709"/>
        <w:jc w:val="center"/>
        <w:rPr>
          <w:color w:val="000000"/>
          <w:sz w:val="24"/>
          <w:szCs w:val="24"/>
        </w:rPr>
      </w:pPr>
      <w:r w:rsidRPr="001171BA">
        <w:rPr>
          <w:color w:val="000000"/>
          <w:sz w:val="24"/>
          <w:szCs w:val="24"/>
        </w:rPr>
        <w:t>протокол № 8 от «25» марта 2016 г</w:t>
      </w:r>
    </w:p>
    <w:p w:rsidR="001171BA" w:rsidRPr="004B2C94" w:rsidRDefault="001171BA" w:rsidP="00F5136B">
      <w:pPr>
        <w:ind w:firstLine="709"/>
        <w:jc w:val="center"/>
        <w:rPr>
          <w:sz w:val="28"/>
        </w:rPr>
      </w:pPr>
      <w:bookmarkStart w:id="0" w:name="_GoBack"/>
      <w:bookmarkEnd w:id="0"/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733F5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иммунопатологиче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заболеваний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анатомии инфекционных и неинфекционных заболеваний в различные возрастные перио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препаратов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Style w:val="1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1984"/>
        <w:gridCol w:w="1985"/>
      </w:tblGrid>
      <w:tr w:rsidR="00157258" w:rsidRPr="000D0B28" w:rsidTr="008E3477">
        <w:trPr>
          <w:trHeight w:val="1908"/>
        </w:trPr>
        <w:tc>
          <w:tcPr>
            <w:tcW w:w="567" w:type="dxa"/>
          </w:tcPr>
          <w:p w:rsidR="00157258" w:rsidRPr="000D0B28" w:rsidRDefault="00157258" w:rsidP="00157258">
            <w:pPr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Тема самостоятельной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самостоятельной работы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контактной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работы при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проведении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текущего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157258" w:rsidRPr="000D0B28" w:rsidTr="008E3477">
        <w:trPr>
          <w:trHeight w:val="328"/>
        </w:trPr>
        <w:tc>
          <w:tcPr>
            <w:tcW w:w="567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57258" w:rsidRPr="000D0B28" w:rsidTr="008E3477">
        <w:trPr>
          <w:trHeight w:val="313"/>
        </w:trPr>
        <w:tc>
          <w:tcPr>
            <w:tcW w:w="9356" w:type="dxa"/>
            <w:gridSpan w:val="5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Самостоятельная работа в рамках практических занятий</w:t>
            </w:r>
          </w:p>
        </w:tc>
      </w:tr>
      <w:tr w:rsidR="00157258" w:rsidRPr="000D0B28" w:rsidTr="008E3477">
        <w:trPr>
          <w:trHeight w:val="3524"/>
        </w:trPr>
        <w:tc>
          <w:tcPr>
            <w:tcW w:w="567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Тема «</w:t>
            </w:r>
            <w:r w:rsidR="00733F53" w:rsidRPr="000D0B28">
              <w:rPr>
                <w:rFonts w:ascii="Times New Roman" w:hAnsi="Times New Roman"/>
                <w:sz w:val="28"/>
                <w:szCs w:val="28"/>
              </w:rPr>
              <w:t>Рентгенодиагностика заболеваний черепа.</w:t>
            </w:r>
            <w:r w:rsidRPr="000D0B2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157258" w:rsidRPr="000D0B28" w:rsidTr="008E3477">
        <w:trPr>
          <w:trHeight w:val="3518"/>
        </w:trPr>
        <w:tc>
          <w:tcPr>
            <w:tcW w:w="567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Основы рентгеновской </w:t>
            </w:r>
            <w:proofErr w:type="spellStart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скиалогии</w:t>
            </w:r>
            <w:proofErr w:type="spellEnd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157258" w:rsidRPr="000D0B28" w:rsidTr="008E3477">
        <w:trPr>
          <w:trHeight w:val="313"/>
        </w:trPr>
        <w:tc>
          <w:tcPr>
            <w:tcW w:w="567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Рентгеноанатомия</w:t>
            </w:r>
            <w:proofErr w:type="spellEnd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рентгенофизиология</w:t>
            </w:r>
            <w:proofErr w:type="spellEnd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органов дыхания и средостения, сердечно-сосудистой системы.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</w:t>
            </w:r>
            <w:r w:rsidRPr="000D0B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157258" w:rsidRPr="000D0B28" w:rsidTr="008E3477">
        <w:trPr>
          <w:trHeight w:val="313"/>
        </w:trPr>
        <w:tc>
          <w:tcPr>
            <w:tcW w:w="567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Рентгендиагностика</w:t>
            </w:r>
            <w:proofErr w:type="spellEnd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заболеваний опорно-двигательной системы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157258" w:rsidRPr="000D0B28" w:rsidTr="008E3477">
        <w:trPr>
          <w:trHeight w:val="313"/>
        </w:trPr>
        <w:tc>
          <w:tcPr>
            <w:tcW w:w="567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Рентгеноанатомия</w:t>
            </w:r>
            <w:proofErr w:type="spellEnd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рентгенофизиология</w:t>
            </w:r>
            <w:proofErr w:type="spellEnd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пищеварительного тракта.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157258" w:rsidRPr="000D0B28" w:rsidTr="008E3477">
        <w:trPr>
          <w:trHeight w:val="313"/>
        </w:trPr>
        <w:tc>
          <w:tcPr>
            <w:tcW w:w="567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157258" w:rsidRPr="000D0B28" w:rsidRDefault="00157258" w:rsidP="003645C1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Неотложная</w:t>
            </w:r>
            <w:r w:rsid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645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помощь в рентгенологии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157258" w:rsidRPr="000D0B28" w:rsidTr="008E3477">
        <w:trPr>
          <w:trHeight w:val="313"/>
        </w:trPr>
        <w:tc>
          <w:tcPr>
            <w:tcW w:w="567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Частная лучевая диагностика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</w:t>
      </w:r>
      <w:r w:rsidR="004670CE">
        <w:rPr>
          <w:sz w:val="28"/>
        </w:rPr>
        <w:t>,</w:t>
      </w:r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6F7AD8" w:rsidRPr="006F7AD8" w:rsidRDefault="006F7AD8" w:rsidP="000D0B28">
      <w:pPr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="000D0B28">
        <w:rPr>
          <w:color w:val="000000"/>
          <w:sz w:val="28"/>
          <w:szCs w:val="28"/>
        </w:rPr>
        <w:t>дист</w:t>
      </w:r>
      <w:r w:rsidR="000D0B28" w:rsidRPr="006E062D">
        <w:rPr>
          <w:color w:val="000000"/>
          <w:sz w:val="28"/>
          <w:szCs w:val="28"/>
        </w:rPr>
        <w:t>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</w:t>
      </w:r>
      <w:r w:rsidRPr="006E062D">
        <w:rPr>
          <w:color w:val="000000"/>
          <w:sz w:val="28"/>
          <w:szCs w:val="28"/>
        </w:rPr>
        <w:lastRenderedPageBreak/>
        <w:t xml:space="preserve">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 xml:space="preserve">, который прикреплен к рабочей программе дисциплины, </w:t>
      </w:r>
      <w:r w:rsidRPr="00FB36A4">
        <w:rPr>
          <w:sz w:val="28"/>
        </w:rPr>
        <w:lastRenderedPageBreak/>
        <w:t>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D5" w:rsidRDefault="000975D5" w:rsidP="00FD5B6B">
      <w:r>
        <w:separator/>
      </w:r>
    </w:p>
  </w:endnote>
  <w:endnote w:type="continuationSeparator" w:id="0">
    <w:p w:rsidR="000975D5" w:rsidRDefault="000975D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171BA">
      <w:rPr>
        <w:noProof/>
      </w:rPr>
      <w:t>4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D5" w:rsidRDefault="000975D5" w:rsidP="00FD5B6B">
      <w:r>
        <w:separator/>
      </w:r>
    </w:p>
  </w:footnote>
  <w:footnote w:type="continuationSeparator" w:id="0">
    <w:p w:rsidR="000975D5" w:rsidRDefault="000975D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EC7CF87E"/>
    <w:lvl w:ilvl="0" w:tplc="84E27722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0975D5"/>
    <w:rsid w:val="000D0B28"/>
    <w:rsid w:val="001171BA"/>
    <w:rsid w:val="00157258"/>
    <w:rsid w:val="00177287"/>
    <w:rsid w:val="001D4FA7"/>
    <w:rsid w:val="001F5EE1"/>
    <w:rsid w:val="0023487A"/>
    <w:rsid w:val="0024749A"/>
    <w:rsid w:val="0026698D"/>
    <w:rsid w:val="002D2784"/>
    <w:rsid w:val="003645C1"/>
    <w:rsid w:val="003B5F75"/>
    <w:rsid w:val="003C37BE"/>
    <w:rsid w:val="00444F4D"/>
    <w:rsid w:val="0045011E"/>
    <w:rsid w:val="004670CE"/>
    <w:rsid w:val="00476000"/>
    <w:rsid w:val="004B2C94"/>
    <w:rsid w:val="004C1386"/>
    <w:rsid w:val="004D1091"/>
    <w:rsid w:val="004F38A4"/>
    <w:rsid w:val="005677BE"/>
    <w:rsid w:val="00582BA5"/>
    <w:rsid w:val="00593334"/>
    <w:rsid w:val="006847B8"/>
    <w:rsid w:val="00686266"/>
    <w:rsid w:val="00693E11"/>
    <w:rsid w:val="006F14A4"/>
    <w:rsid w:val="006F7AD8"/>
    <w:rsid w:val="00733F53"/>
    <w:rsid w:val="00742208"/>
    <w:rsid w:val="00755609"/>
    <w:rsid w:val="0079237F"/>
    <w:rsid w:val="008113A5"/>
    <w:rsid w:val="00832D24"/>
    <w:rsid w:val="008342CD"/>
    <w:rsid w:val="00843BE9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F1CD1"/>
    <w:rsid w:val="00C332A0"/>
    <w:rsid w:val="00C35B2E"/>
    <w:rsid w:val="00C83AB7"/>
    <w:rsid w:val="00D06B87"/>
    <w:rsid w:val="00D33524"/>
    <w:rsid w:val="00D35869"/>
    <w:rsid w:val="00D471E6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FE5B75-D828-4A32-BC1C-5E36E97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1572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</cp:lastModifiedBy>
  <cp:revision>10</cp:revision>
  <dcterms:created xsi:type="dcterms:W3CDTF">2019-06-18T03:50:00Z</dcterms:created>
  <dcterms:modified xsi:type="dcterms:W3CDTF">2019-10-15T12:35:00Z</dcterms:modified>
</cp:coreProperties>
</file>