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0929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8BC3E56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8B05E48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11DBF5B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5D42DFA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BAC9D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69E8CA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145A7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01D5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D35C38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5853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57E82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2F2AD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4D28E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8E6727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82DA3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9BCAC4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811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E6C336A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47FD54E1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5CAE20D1" w14:textId="77777777" w:rsidR="001C154B" w:rsidRDefault="001C154B" w:rsidP="001C1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DCD0A" w14:textId="77777777" w:rsidR="001C154B" w:rsidRDefault="001C154B" w:rsidP="001C154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  <w:r w:rsidRPr="00CF7355">
        <w:rPr>
          <w:rFonts w:ascii="Times New Roman" w:hAnsi="Times New Roman"/>
          <w:sz w:val="28"/>
          <w:szCs w:val="20"/>
        </w:rPr>
        <w:t>_________</w:t>
      </w:r>
      <w:r w:rsidRPr="00DD1D66">
        <w:rPr>
          <w:rFonts w:ascii="Times New Roman" w:hAnsi="Times New Roman"/>
          <w:sz w:val="28"/>
          <w:szCs w:val="20"/>
          <w:u w:val="single"/>
        </w:rPr>
        <w:t>ПОЛИКЛИНИЧЕСКАЯ ТЕРАПИЯ</w:t>
      </w:r>
      <w:r w:rsidRPr="00CF7355">
        <w:rPr>
          <w:rFonts w:ascii="Times New Roman" w:hAnsi="Times New Roman"/>
          <w:sz w:val="28"/>
          <w:szCs w:val="20"/>
        </w:rPr>
        <w:t>___________</w:t>
      </w:r>
    </w:p>
    <w:p w14:paraId="3B1FCDA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E2245E8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3E0A9E1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DD1D66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специальности</w:t>
      </w:r>
    </w:p>
    <w:p w14:paraId="2CE1D2FD" w14:textId="77777777" w:rsidR="001C154B" w:rsidRPr="00CF7355" w:rsidRDefault="001C154B" w:rsidP="001C154B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6E67FADD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E3D59">
        <w:rPr>
          <w:rFonts w:ascii="Times New Roman" w:hAnsi="Times New Roman"/>
          <w:i/>
          <w:sz w:val="28"/>
          <w:szCs w:val="28"/>
        </w:rPr>
        <w:t xml:space="preserve">31.05.01 </w:t>
      </w:r>
      <w:r w:rsidRPr="00385778">
        <w:rPr>
          <w:rFonts w:ascii="Times New Roman" w:hAnsi="Times New Roman"/>
          <w:i/>
          <w:sz w:val="28"/>
          <w:szCs w:val="28"/>
        </w:rPr>
        <w:t>Лечебное дело</w:t>
      </w:r>
    </w:p>
    <w:p w14:paraId="260FF104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_________________________________________________________________</w:t>
      </w:r>
    </w:p>
    <w:p w14:paraId="4C9DDC53" w14:textId="77777777" w:rsidR="001C154B" w:rsidRPr="00CF7355" w:rsidRDefault="001C154B" w:rsidP="001C15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F1A4CFE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89B3F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873BC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BCE7D0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15DB59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8CB56F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191D78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C5CA2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CA9D1A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9B7CE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D06A4" w14:textId="77777777" w:rsidR="001C154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4B340" w14:textId="77777777" w:rsidR="001C154B" w:rsidRPr="00BD661B" w:rsidRDefault="001C154B" w:rsidP="001C1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1D406A" w14:textId="77777777" w:rsidR="001C154B" w:rsidRPr="00CF7355" w:rsidRDefault="001C154B" w:rsidP="001C1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54EEB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EEB">
        <w:rPr>
          <w:rFonts w:ascii="Times New Roman" w:hAnsi="Times New Roman"/>
          <w:i/>
          <w:sz w:val="24"/>
          <w:szCs w:val="24"/>
        </w:rPr>
        <w:t xml:space="preserve">31.05.01 </w:t>
      </w:r>
      <w:r w:rsidRPr="00385778">
        <w:rPr>
          <w:rFonts w:ascii="Times New Roman" w:hAnsi="Times New Roman"/>
          <w:i/>
          <w:sz w:val="24"/>
          <w:szCs w:val="24"/>
        </w:rPr>
        <w:t>Лечебное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0B3D1C1F" w14:textId="77777777" w:rsidR="001C154B" w:rsidRPr="00CF7355" w:rsidRDefault="001C154B" w:rsidP="001C1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6C7D2B" w14:textId="77777777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 xml:space="preserve">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г.</w:t>
      </w:r>
    </w:p>
    <w:p w14:paraId="570AC565" w14:textId="77777777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43874F" w14:textId="77777777" w:rsidR="001C154B" w:rsidRPr="00CF7355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Оренбург</w:t>
      </w:r>
    </w:p>
    <w:p w14:paraId="60AAD6CF" w14:textId="77777777" w:rsidR="001C154B" w:rsidRDefault="001C154B" w:rsidP="001C15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C3F51C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2.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Основные синдромы в практике участкового терапевта.</w:t>
      </w:r>
    </w:p>
    <w:p w14:paraId="0431DD9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0EEBEF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3F7DEFE3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68BCEB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болезней суставов.</w:t>
      </w:r>
    </w:p>
    <w:p w14:paraId="16245AF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BC2762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болезней суставов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3E3C318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645D793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определение суставного синдрома; заболевания, при которых данный синдром встречается; механизмы суставного синдрома при различных заболеваниях;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606BE4B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3210CE" w14:textId="77777777" w:rsidR="004B51FE" w:rsidRDefault="004B51FE" w:rsidP="004B51FE">
      <w:pPr>
        <w:spacing w:after="0" w:line="24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69BB7DE2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D93924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20720574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5147F1C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359CD" w14:textId="77777777" w:rsidR="004B51FE" w:rsidRDefault="004B51FE" w:rsidP="004B5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 2. </w:t>
      </w:r>
    </w:p>
    <w:p w14:paraId="1168E6A4" w14:textId="77777777" w:rsidR="004B51FE" w:rsidRDefault="004B51FE" w:rsidP="004B51FE"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Остеопороз и его лечение.</w:t>
      </w:r>
    </w:p>
    <w:p w14:paraId="0064DAE7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сформулировать у обучающихся знания об остеопорозе, который нередко диагностируется поздно (после первого малотравматичного перелома),</w:t>
      </w:r>
    </w:p>
    <w:p w14:paraId="382E81A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Обобщить и систематизировать знания о костном метаболизме, факторах риска и причинах остеопороза, методах диагностики, сформировать понятия о мерах профилактики, лечебном воздействии на костный метаболизм в различных ситуациях.</w:t>
      </w:r>
    </w:p>
    <w:p w14:paraId="6B316E56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. Даётся определение остеопороза. Разбираются факторы, регулирующие и контролирующие процессы костного </w:t>
      </w:r>
      <w:proofErr w:type="spellStart"/>
      <w:r>
        <w:rPr>
          <w:rFonts w:ascii="Times New Roman" w:hAnsi="Times New Roman"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/>
          <w:sz w:val="28"/>
          <w:szCs w:val="28"/>
        </w:rPr>
        <w:t>, а также факторы, предрасполагающие к развитию остеопороза. К числу их относятся, в том числе, различные заболевания, лекарственные препараты, которые приводят к вторичному остеопорозу.</w:t>
      </w:r>
    </w:p>
    <w:p w14:paraId="6262D313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 имеет место первичный остеопороз (постменопаузальный и сенильный, которые нередко диагностируются после </w:t>
      </w:r>
      <w:proofErr w:type="spellStart"/>
      <w:r>
        <w:rPr>
          <w:rFonts w:ascii="Times New Roman" w:hAnsi="Times New Roman"/>
          <w:sz w:val="28"/>
          <w:szCs w:val="28"/>
        </w:rPr>
        <w:t>остеопоротического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(малотравматичного) перелома, который чаще всего локализуется в позвоночнике, костях запястья, шейке бедра.</w:t>
      </w:r>
    </w:p>
    <w:p w14:paraId="0448673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клинические проявления остеопороза, инструментальные и лабораторные методы диагностики его. Наиболее информативным методом </w:t>
      </w:r>
      <w:r>
        <w:rPr>
          <w:rFonts w:ascii="Times New Roman" w:hAnsi="Times New Roman"/>
          <w:sz w:val="28"/>
          <w:szCs w:val="28"/>
        </w:rPr>
        <w:lastRenderedPageBreak/>
        <w:t>диагностики, выявляющим от 2% потери костной массы, является рентгеновская денситометрия.</w:t>
      </w:r>
    </w:p>
    <w:p w14:paraId="68AD086A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разбираются также вопросы профилактики остеопороза, существенная роль в которой отводится здоровому образу жизни, полноценному питанию, адекватному потреблению кальция и витамина Д.</w:t>
      </w:r>
    </w:p>
    <w:p w14:paraId="5128BD5F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Важнейшая проблема – активное выявление больных ОП, подлежащих лечению.  Цель терапии – предупреждение переломов. В идеале она должна быть начата до появления симптомов заболевания.</w:t>
      </w:r>
    </w:p>
    <w:p w14:paraId="22F5D0D0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эталонным считается метод отбора больных для лечения с помощью метода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ХА. При Т-критерии менее 2,5 диагностируется остеопороз, что требует проведение </w:t>
      </w:r>
      <w:proofErr w:type="spellStart"/>
      <w:r>
        <w:rPr>
          <w:rFonts w:ascii="Times New Roman" w:hAnsi="Times New Roman"/>
          <w:sz w:val="28"/>
          <w:szCs w:val="28"/>
        </w:rPr>
        <w:t>противоостеопоротической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терапии. Терапия остеопороза включает общие (немедикаментозные) мероприятия, коррекцию кальциевого обмена, лекарственную коррекцию процессов </w:t>
      </w:r>
      <w:proofErr w:type="spellStart"/>
      <w:r>
        <w:rPr>
          <w:rFonts w:ascii="Times New Roman" w:hAnsi="Times New Roman"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кости, динамический контроль за проводимой терапией.</w:t>
      </w:r>
    </w:p>
    <w:p w14:paraId="4B58733C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лекарственных препаратов, в зависимости от ситуации, проводят заместительную гормональную терапию эстрогенами, селективными модуляторами </w:t>
      </w:r>
      <w:proofErr w:type="spellStart"/>
      <w:r>
        <w:rPr>
          <w:rFonts w:ascii="Times New Roman" w:hAnsi="Times New Roman"/>
          <w:sz w:val="28"/>
          <w:szCs w:val="28"/>
        </w:rPr>
        <w:t>эстрогеновых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рецепторов, кальцитонином лосося, стронция </w:t>
      </w:r>
      <w:proofErr w:type="spellStart"/>
      <w:r>
        <w:rPr>
          <w:rFonts w:ascii="Times New Roman" w:hAnsi="Times New Roman"/>
          <w:sz w:val="28"/>
          <w:szCs w:val="28"/>
        </w:rPr>
        <w:t>ранелат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бисфосфонатами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терипаратидом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флюоридами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14:paraId="1B499D11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появился препарат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Деносумаб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– генно-инженерный препарат из группы человеческих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моноклональных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антител, используемый для лечения различных патологий костной системы, известный во всем мире под международным торговым названием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Пролиа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Показан для лечения патологии костей, которые влияют на строение и их минерализацию. Обладает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антирезорбтивными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свойствами.</w:t>
      </w:r>
    </w:p>
    <w:p w14:paraId="721B479A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Особое внимание уделено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глюкокортикоидоиндуцированному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остеопорозу в связи с тем, что глюкокортикоиды широко применяются при лечении аутоиммунных процессов, патологии органов дыхания, в трансплантологии, онкологии и др. Длительный приём их даже в малых дозах приводит к прямому воздействию на дифференцировку, функцию и продолжительность жизни костных клеток. Возможно также опосредованное системное действие на костный метаболизм, развитие миопатии, увеличивающей риск падений и переломов.</w:t>
      </w:r>
    </w:p>
    <w:p w14:paraId="1B96C227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1A3188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68F0BC05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766A08DF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5CE33E62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14DD1AAF" w14:textId="77777777" w:rsidR="004B51FE" w:rsidRDefault="004B51FE" w:rsidP="004B51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1556054" w14:textId="77777777" w:rsidR="004B51FE" w:rsidRDefault="004B51FE" w:rsidP="004B5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№3. </w:t>
      </w:r>
    </w:p>
    <w:p w14:paraId="435D2532" w14:textId="77777777" w:rsidR="004B51FE" w:rsidRDefault="004B51FE" w:rsidP="004B51FE"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Системная склеродермия.</w:t>
      </w:r>
    </w:p>
    <w:p w14:paraId="6768CF39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системных заболеваниях соединительной ткани, входящих в группу ревматических заболеваний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наиболее ярком представителе  их – системной склеродермии, систематизировать знания о патогенезе и клинических проявлениях собственно системной склеродермии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склеродермоподобных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заболеваний, сформировать новые  подходы к диагностике и лечению с учётом новых данных о патогенезе системного склероза в целом, так и путём воздействия на патологию различных органов и систем, обусловленных, главным образом,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склеродермической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микроангиопатией.</w:t>
      </w:r>
    </w:p>
    <w:p w14:paraId="3AE29DC4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. В лекции даётся развёрнутое определение системной склеродермии, в основе которой лежит поражение соединительной ткани с преобладанием фиброза и сосудистые патологические изменения по типу облитерирующей микроангиопатии. Приводятся основные клинические формы </w:t>
      </w:r>
      <w:proofErr w:type="spellStart"/>
      <w:r>
        <w:rPr>
          <w:rFonts w:ascii="Times New Roman" w:hAnsi="Times New Roman"/>
          <w:sz w:val="28"/>
          <w:szCs w:val="28"/>
        </w:rPr>
        <w:t>склеродермической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болезней и различия в клинических проявлениях их. Разбираются критерии </w:t>
      </w:r>
      <w:r>
        <w:rPr>
          <w:rFonts w:ascii="Times New Roman" w:hAnsi="Times New Roman"/>
          <w:sz w:val="28"/>
          <w:szCs w:val="28"/>
          <w:lang w:val="en-US"/>
        </w:rPr>
        <w:t>ACR</w:t>
      </w:r>
      <w:r>
        <w:rPr>
          <w:rFonts w:ascii="Times New Roman" w:hAnsi="Times New Roman"/>
          <w:sz w:val="28"/>
          <w:szCs w:val="28"/>
        </w:rPr>
        <w:t xml:space="preserve">, используемые для диагностики системной склеродермии. Помимо клинических проявлений, одним из наиболее ранних из которых является синдром Рейно, учитывают результаты специальных диагностических исследований. К числу их относится широкопольная </w:t>
      </w:r>
      <w:proofErr w:type="spellStart"/>
      <w:r>
        <w:rPr>
          <w:rFonts w:ascii="Times New Roman" w:hAnsi="Times New Roman"/>
          <w:sz w:val="28"/>
          <w:szCs w:val="28"/>
        </w:rPr>
        <w:t>видеокапилляроскопия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ногтевого ложа (прижизненная визуальная оценка структурных и функциональных качеств капилляров ногтевого ложа, имеющих только при системной склеродермии чёткое нозологическое своеобразие) и выявление иммунных нарушений, в том числе специфичных для данной патологии антител</w:t>
      </w:r>
    </w:p>
    <w:p w14:paraId="22CB3CCD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новые классификационные критерии системной склеродермии (2001), алгоритм диагностики очень ранней системной склеродермии, клинические проявления в развёрнутой стадии болезни со стороны различных органов и систем. Представлена рабочая классификация системной склеродермии. Даны иллюстрации </w:t>
      </w:r>
      <w:proofErr w:type="gramStart"/>
      <w:r>
        <w:rPr>
          <w:rFonts w:ascii="Times New Roman" w:hAnsi="Times New Roman"/>
          <w:sz w:val="28"/>
          <w:szCs w:val="28"/>
        </w:rPr>
        <w:t>различных  проявлений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болезни.</w:t>
      </w:r>
    </w:p>
    <w:p w14:paraId="69E83AB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рассматриваются различные виды лечения в зависимости от характера течения.  Одним из компонентов лечения является немедикаментозная терапия. Основные цели лекарственного воздействия: сосудистый эндотелий (вазоактивная терапия), иммунная система (</w:t>
      </w:r>
      <w:proofErr w:type="spellStart"/>
      <w:r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>
        <w:rPr>
          <w:rFonts w:ascii="Times New Roman" w:hAnsi="Times New Roman"/>
          <w:sz w:val="28"/>
          <w:szCs w:val="28"/>
        </w:rPr>
        <w:t>), фибробласты (</w:t>
      </w:r>
      <w:proofErr w:type="spellStart"/>
      <w:r>
        <w:rPr>
          <w:rFonts w:ascii="Times New Roman" w:hAnsi="Times New Roman"/>
          <w:sz w:val="28"/>
          <w:szCs w:val="28"/>
        </w:rPr>
        <w:t>антифиброзная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терапия). При наличии висцеральных поражений назначаются соответствующие препараты.</w:t>
      </w:r>
    </w:p>
    <w:p w14:paraId="0D21922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12F9F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4EBCC2D9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3A8BE1BD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235FE083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3034B4B1" w14:textId="77777777" w:rsidR="004B51FE" w:rsidRDefault="004B51FE" w:rsidP="004B51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104BF7E" w14:textId="77777777" w:rsidR="004B51FE" w:rsidRDefault="004B51FE" w:rsidP="004B5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№4. </w:t>
      </w:r>
    </w:p>
    <w:p w14:paraId="5E3332C4" w14:textId="77777777" w:rsidR="004B51FE" w:rsidRDefault="004B51FE" w:rsidP="004B51F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u w:val="single"/>
        </w:rPr>
        <w:t>Системные васкулиты.</w:t>
      </w:r>
    </w:p>
    <w:p w14:paraId="6D2F7BEA" w14:textId="77777777" w:rsidR="004B51FE" w:rsidRDefault="004B51FE" w:rsidP="004B5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1C3BB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системных  васкулитах, являющихся гетерогенной группой заболеваний, основным морфологическим признаком которых является воспаление сосудистой стенки, а спектр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клинических проявлений зависит от типа, размера, локализации поражённых сосудов и тяжести органной патологии, систематизировать знания о патогенезе и клинических проявлениях различных вариантов  патологии, классификационных критериях их, сформировать  подходы к диагностике и лечению с учётом новых данных.</w:t>
      </w:r>
    </w:p>
    <w:p w14:paraId="2BAEC35D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8985DF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>: В лекции даётся развёрнутое определение системных васкулитов и их классификация. Все они сгруппированы в зависимости от калибра преимущественного поражения сосудов и наличия АНЦА (</w:t>
      </w:r>
      <w:proofErr w:type="spellStart"/>
      <w:r>
        <w:rPr>
          <w:rFonts w:ascii="Times New Roman" w:hAnsi="Times New Roman"/>
          <w:sz w:val="28"/>
          <w:szCs w:val="28"/>
        </w:rPr>
        <w:t>антинейтрофильные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цитоплазматические антитела). Для 7 системных васкулитов </w:t>
      </w:r>
      <w:r>
        <w:rPr>
          <w:rFonts w:ascii="Times New Roman" w:hAnsi="Times New Roman"/>
          <w:sz w:val="28"/>
          <w:szCs w:val="28"/>
          <w:lang w:val="en-US"/>
        </w:rPr>
        <w:t>ACR</w:t>
      </w:r>
      <w:r>
        <w:rPr>
          <w:rFonts w:ascii="Times New Roman" w:hAnsi="Times New Roman"/>
          <w:sz w:val="28"/>
          <w:szCs w:val="28"/>
        </w:rPr>
        <w:t>опубликовала классификационные критерии.</w:t>
      </w:r>
    </w:p>
    <w:p w14:paraId="38E1B9F8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Разбираются классификационные критерии и клинические проявления наиболее часто встречающихся васкулитов. В лекции содержится много иллюстративного материала, демонстрирующих клинические проявления. С учётом патогенеза   </w:t>
      </w:r>
      <w:proofErr w:type="spellStart"/>
      <w:r>
        <w:rPr>
          <w:rFonts w:ascii="Times New Roman" w:hAnsi="Times New Roman"/>
          <w:sz w:val="28"/>
          <w:szCs w:val="28"/>
        </w:rPr>
        <w:t>цитостатики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глюкокортикоиды являются основными группами лекарственных средств. Лечение всегда назначают индивидуально в зависимости от клинических проявлений заболевания и типа васкулита.</w:t>
      </w:r>
    </w:p>
    <w:p w14:paraId="46A81F88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E8657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333333"/>
          <w:sz w:val="28"/>
          <w:szCs w:val="28"/>
        </w:rPr>
        <w:t>информационная</w:t>
      </w:r>
    </w:p>
    <w:p w14:paraId="20047A98" w14:textId="77777777" w:rsidR="004B51FE" w:rsidRDefault="004B51FE" w:rsidP="004B51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Методы обучения, применяемые на лекции:</w:t>
      </w:r>
    </w:p>
    <w:p w14:paraId="66DFDB87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дидактические (презентация),</w:t>
      </w:r>
    </w:p>
    <w:p w14:paraId="34F5C0B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материально-технические (мультимедийный проектор и ноутбук).</w:t>
      </w:r>
    </w:p>
    <w:p w14:paraId="52EF94FB" w14:textId="77777777" w:rsidR="004B51FE" w:rsidRDefault="004B51FE" w:rsidP="004B5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5339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C9D14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14:paraId="46F2ED4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Боль в спине: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спондилоартриты, дифференциальная диагностика со спондилоартрозами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14:paraId="7085443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96A4C8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спондилоартритах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ведения пациентов с этим заболеванием. </w:t>
      </w:r>
    </w:p>
    <w:p w14:paraId="053C6C7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1ADD7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определение спондилоартритов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серонегативных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спондилоартритов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</w:rPr>
        <w:t>патогенетические механизмы спондилоартритов; общие признаки спондилоартритов</w:t>
      </w:r>
      <w:r>
        <w:rPr>
          <w:rFonts w:ascii="Times New Roman" w:hAnsi="Times New Roman"/>
          <w:color w:val="000000"/>
          <w:sz w:val="28"/>
          <w:szCs w:val="28"/>
        </w:rPr>
        <w:t xml:space="preserve">; диагностические критерии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критерии воспалительной боли в спине; дифференциальная диагностика спондилоартрита со спондилоартрозом; подробно рассмотрен вопрос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анкилозирующего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спондилита, реактивных артритов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псориатического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артрита; принципы формулирования клинического диагноза,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диагности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лечения и профилактики этих заболеваний. </w:t>
      </w:r>
    </w:p>
    <w:p w14:paraId="73AEE0D7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48461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3D8742D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1C4ED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1E0A011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(мультимедийный проектор, ноутбук).</w:t>
      </w:r>
    </w:p>
    <w:p w14:paraId="00D8F83F" w14:textId="77777777" w:rsidR="004B51FE" w:rsidRDefault="004B51FE" w:rsidP="004B51F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EB84C66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57B1C9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14:paraId="024C2B00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Основные синдромы и симптомы при функциональных и органических заболеваниях органов пищеварения. </w:t>
      </w:r>
    </w:p>
    <w:p w14:paraId="3F1A58F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D388C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болезней органов пищеварения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7E343F2B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684A09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определения симптомов и синдромов при патологии органов пищеварения; заболевания, при которых данные синдромы (симптомы) встречаются; механизмы симптомов и синдромов при патологии органов пищеварения;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7CED0705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2C333D2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BE0890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495B5EC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514F78F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E08DEB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14:paraId="71B169AD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Симптоматика мочевого и отечного синдромов. Алгоритм диагностики и лечения.</w:t>
      </w:r>
    </w:p>
    <w:p w14:paraId="3E30150C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A4494C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дифференциальной диагностике основных симптомов мочевого и отечного синдромов и</w:t>
      </w:r>
      <w:r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1A9CBD95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21AFDC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color w:val="000000"/>
          <w:sz w:val="28"/>
          <w:szCs w:val="28"/>
        </w:rPr>
        <w:t>В лекции рассматриваются определения симптомов и синдромов при мочевом и отечном синдромах; заболевания, при которых данные синдромы (симптомы) встречаются; механизмы развития симптомов и синдромов; данные анамнеза, необходимые для уточнения диагноза; другие клинические симптомы, с которыми данный синдром сочетается при предполагаемых заболеваниях; план исследований, которые следует использовать для уточнения диагноза; результаты обследований при предполагаемых заболеваниях; общие принципы лечения данного синдрома.</w:t>
      </w:r>
    </w:p>
    <w:p w14:paraId="49643D46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8F82AB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14:paraId="0D94A49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7B708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(презентация);</w:t>
      </w:r>
    </w:p>
    <w:p w14:paraId="0C99AB71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7E52B5D6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16BDE4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7FA413" w14:textId="77777777" w:rsidR="004B51FE" w:rsidRDefault="004B51FE" w:rsidP="004B5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№8.</w:t>
      </w:r>
    </w:p>
    <w:p w14:paraId="48C65B59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Нейроциркуляторная дистония и тактика ведения больных.</w:t>
      </w:r>
    </w:p>
    <w:p w14:paraId="7CAB3547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4F27DDBA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у обучающихся 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нейроциркуляторной дистонии и тактике ведения пациентов с этим заболеванием. </w:t>
      </w:r>
    </w:p>
    <w:p w14:paraId="47720901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CD03C6F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рассматриваются определение нейроциркуляторной дистонии (НЦД); классификация; клинические проявления в зависимости от типа НЦД и степени ее тяжести; дифференциальная диагностика с другими заболеваниями и расстройствами; диагностические критерии НЦД; принципы формулирования клинического диагноза; пароксизмальные вегетативные нарушения (кризы); лечение НЦД и вегетативных кризов; профилактика НЦД. </w:t>
      </w:r>
    </w:p>
    <w:p w14:paraId="5BAB5CB1" w14:textId="77777777" w:rsidR="004B51FE" w:rsidRDefault="004B51FE" w:rsidP="004B51FE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FE191" w14:textId="77777777" w:rsidR="004B51FE" w:rsidRDefault="004B51FE" w:rsidP="004B51FE">
      <w:pPr>
        <w:spacing w:after="0"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информационная.</w:t>
      </w:r>
    </w:p>
    <w:p w14:paraId="744D6DC3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78B5DE" w14:textId="77777777" w:rsidR="004B51FE" w:rsidRDefault="004B51FE" w:rsidP="004B5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(презентация);</w:t>
      </w:r>
    </w:p>
    <w:p w14:paraId="06E5F260" w14:textId="77777777" w:rsidR="004B51FE" w:rsidRDefault="004B51FE" w:rsidP="004B51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 (мультимедийный проектор и ноутбук</w:t>
      </w:r>
    </w:p>
    <w:p w14:paraId="7D32406B" w14:textId="77777777" w:rsidR="001C154B" w:rsidRDefault="001C154B" w:rsidP="004B51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C154B" w:rsidSect="00D4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B"/>
    <w:rsid w:val="000208C4"/>
    <w:rsid w:val="000242F0"/>
    <w:rsid w:val="0002513F"/>
    <w:rsid w:val="000300FC"/>
    <w:rsid w:val="00031213"/>
    <w:rsid w:val="00033AC1"/>
    <w:rsid w:val="00066F4B"/>
    <w:rsid w:val="00067E4E"/>
    <w:rsid w:val="00091F6C"/>
    <w:rsid w:val="00094028"/>
    <w:rsid w:val="000C7455"/>
    <w:rsid w:val="000D4E2D"/>
    <w:rsid w:val="00104915"/>
    <w:rsid w:val="00123468"/>
    <w:rsid w:val="001343ED"/>
    <w:rsid w:val="00137D7D"/>
    <w:rsid w:val="00154FA4"/>
    <w:rsid w:val="00156AA2"/>
    <w:rsid w:val="0016217A"/>
    <w:rsid w:val="001874C7"/>
    <w:rsid w:val="001A07E9"/>
    <w:rsid w:val="001C154B"/>
    <w:rsid w:val="001C1AA3"/>
    <w:rsid w:val="001C1E7A"/>
    <w:rsid w:val="001C3DF5"/>
    <w:rsid w:val="001C569C"/>
    <w:rsid w:val="001F71D9"/>
    <w:rsid w:val="00212E54"/>
    <w:rsid w:val="002167FC"/>
    <w:rsid w:val="00225C0F"/>
    <w:rsid w:val="00257940"/>
    <w:rsid w:val="00270086"/>
    <w:rsid w:val="002729EC"/>
    <w:rsid w:val="00285CA9"/>
    <w:rsid w:val="002906FE"/>
    <w:rsid w:val="002A4FF2"/>
    <w:rsid w:val="002B5868"/>
    <w:rsid w:val="002D49DE"/>
    <w:rsid w:val="003034A4"/>
    <w:rsid w:val="00306199"/>
    <w:rsid w:val="00327554"/>
    <w:rsid w:val="003374AC"/>
    <w:rsid w:val="00346674"/>
    <w:rsid w:val="00346BD2"/>
    <w:rsid w:val="00366059"/>
    <w:rsid w:val="003664AC"/>
    <w:rsid w:val="00367F16"/>
    <w:rsid w:val="00394C4D"/>
    <w:rsid w:val="003A3E4D"/>
    <w:rsid w:val="003B7394"/>
    <w:rsid w:val="003C09A2"/>
    <w:rsid w:val="003C60C1"/>
    <w:rsid w:val="003E4531"/>
    <w:rsid w:val="003E794F"/>
    <w:rsid w:val="004033D4"/>
    <w:rsid w:val="004056EC"/>
    <w:rsid w:val="00417D05"/>
    <w:rsid w:val="00422E26"/>
    <w:rsid w:val="00431B87"/>
    <w:rsid w:val="00431C8A"/>
    <w:rsid w:val="00432474"/>
    <w:rsid w:val="00437446"/>
    <w:rsid w:val="00442C30"/>
    <w:rsid w:val="00460E2F"/>
    <w:rsid w:val="00464F15"/>
    <w:rsid w:val="0047772C"/>
    <w:rsid w:val="004846A9"/>
    <w:rsid w:val="004854CF"/>
    <w:rsid w:val="004B51FE"/>
    <w:rsid w:val="004D1817"/>
    <w:rsid w:val="004E2818"/>
    <w:rsid w:val="004F00C4"/>
    <w:rsid w:val="004F0981"/>
    <w:rsid w:val="0051039D"/>
    <w:rsid w:val="005164CD"/>
    <w:rsid w:val="00516EF8"/>
    <w:rsid w:val="00530A16"/>
    <w:rsid w:val="00531FB3"/>
    <w:rsid w:val="00545A2B"/>
    <w:rsid w:val="00562EAA"/>
    <w:rsid w:val="00573D68"/>
    <w:rsid w:val="00583EC0"/>
    <w:rsid w:val="005A128A"/>
    <w:rsid w:val="00600836"/>
    <w:rsid w:val="00601612"/>
    <w:rsid w:val="00606F5A"/>
    <w:rsid w:val="00633604"/>
    <w:rsid w:val="00647859"/>
    <w:rsid w:val="0066104F"/>
    <w:rsid w:val="00673CB6"/>
    <w:rsid w:val="00674A32"/>
    <w:rsid w:val="006B096C"/>
    <w:rsid w:val="006D14D8"/>
    <w:rsid w:val="006E240B"/>
    <w:rsid w:val="00700A54"/>
    <w:rsid w:val="0070307C"/>
    <w:rsid w:val="007052BC"/>
    <w:rsid w:val="00735966"/>
    <w:rsid w:val="00737136"/>
    <w:rsid w:val="007455AF"/>
    <w:rsid w:val="007607DF"/>
    <w:rsid w:val="00762FE3"/>
    <w:rsid w:val="00764204"/>
    <w:rsid w:val="00767CC7"/>
    <w:rsid w:val="0077370A"/>
    <w:rsid w:val="00783DFA"/>
    <w:rsid w:val="00786421"/>
    <w:rsid w:val="00791BC4"/>
    <w:rsid w:val="007935D2"/>
    <w:rsid w:val="007D11B7"/>
    <w:rsid w:val="007D1D50"/>
    <w:rsid w:val="00801112"/>
    <w:rsid w:val="00817C35"/>
    <w:rsid w:val="00820265"/>
    <w:rsid w:val="00826347"/>
    <w:rsid w:val="0086306D"/>
    <w:rsid w:val="0087185A"/>
    <w:rsid w:val="008760FA"/>
    <w:rsid w:val="008875A7"/>
    <w:rsid w:val="00891784"/>
    <w:rsid w:val="008D5E66"/>
    <w:rsid w:val="008E4EE7"/>
    <w:rsid w:val="008E6112"/>
    <w:rsid w:val="00905F79"/>
    <w:rsid w:val="00916BB1"/>
    <w:rsid w:val="00917F21"/>
    <w:rsid w:val="00953CAD"/>
    <w:rsid w:val="009574AA"/>
    <w:rsid w:val="0096437A"/>
    <w:rsid w:val="009A12A3"/>
    <w:rsid w:val="009D4475"/>
    <w:rsid w:val="009F2509"/>
    <w:rsid w:val="00A01E77"/>
    <w:rsid w:val="00A21E31"/>
    <w:rsid w:val="00A233DE"/>
    <w:rsid w:val="00A426F2"/>
    <w:rsid w:val="00A45919"/>
    <w:rsid w:val="00A46ADA"/>
    <w:rsid w:val="00A63E5E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273D2"/>
    <w:rsid w:val="00B316DD"/>
    <w:rsid w:val="00B35218"/>
    <w:rsid w:val="00B60485"/>
    <w:rsid w:val="00B73F20"/>
    <w:rsid w:val="00B83BA8"/>
    <w:rsid w:val="00BA7AC2"/>
    <w:rsid w:val="00BB63E7"/>
    <w:rsid w:val="00BF4AF9"/>
    <w:rsid w:val="00C01F6F"/>
    <w:rsid w:val="00C10EDA"/>
    <w:rsid w:val="00C112EB"/>
    <w:rsid w:val="00C20E32"/>
    <w:rsid w:val="00C22082"/>
    <w:rsid w:val="00C40665"/>
    <w:rsid w:val="00C45F14"/>
    <w:rsid w:val="00C5038C"/>
    <w:rsid w:val="00C95E39"/>
    <w:rsid w:val="00CD1074"/>
    <w:rsid w:val="00CD2F81"/>
    <w:rsid w:val="00D04172"/>
    <w:rsid w:val="00D40D80"/>
    <w:rsid w:val="00D50DE2"/>
    <w:rsid w:val="00D52ED6"/>
    <w:rsid w:val="00D53B95"/>
    <w:rsid w:val="00D74E18"/>
    <w:rsid w:val="00DA4C57"/>
    <w:rsid w:val="00DD4D35"/>
    <w:rsid w:val="00DF1BC5"/>
    <w:rsid w:val="00E11AD7"/>
    <w:rsid w:val="00E42D49"/>
    <w:rsid w:val="00E503F6"/>
    <w:rsid w:val="00E50FA2"/>
    <w:rsid w:val="00E52674"/>
    <w:rsid w:val="00E6212C"/>
    <w:rsid w:val="00E91B26"/>
    <w:rsid w:val="00E93049"/>
    <w:rsid w:val="00E94CCB"/>
    <w:rsid w:val="00E96895"/>
    <w:rsid w:val="00EB1089"/>
    <w:rsid w:val="00ED2B72"/>
    <w:rsid w:val="00EE4C93"/>
    <w:rsid w:val="00F15B9D"/>
    <w:rsid w:val="00F17030"/>
    <w:rsid w:val="00F369B4"/>
    <w:rsid w:val="00F65CCB"/>
    <w:rsid w:val="00F7484C"/>
    <w:rsid w:val="00F81761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6B9"/>
  <w15:docId w15:val="{1F33A1BC-6D1A-4A7C-9805-CDF5C01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hp-pc</cp:lastModifiedBy>
  <cp:revision>2</cp:revision>
  <dcterms:created xsi:type="dcterms:W3CDTF">2021-01-15T19:04:00Z</dcterms:created>
  <dcterms:modified xsi:type="dcterms:W3CDTF">2021-01-15T19:04:00Z</dcterms:modified>
</cp:coreProperties>
</file>