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157258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РЕНТГЕНОЛОГИЯ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57258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31.08.09 Рентгенология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157258">
        <w:rPr>
          <w:color w:val="000000"/>
          <w:sz w:val="24"/>
          <w:szCs w:val="24"/>
        </w:rPr>
        <w:t>ования по специальности 31.08.09</w:t>
      </w:r>
      <w:r w:rsidRPr="00A25EE3">
        <w:rPr>
          <w:color w:val="000000"/>
          <w:sz w:val="24"/>
          <w:szCs w:val="24"/>
        </w:rPr>
        <w:t xml:space="preserve"> «</w:t>
      </w:r>
      <w:r w:rsidR="00157258">
        <w:rPr>
          <w:color w:val="000000"/>
          <w:sz w:val="24"/>
          <w:szCs w:val="24"/>
        </w:rPr>
        <w:t>Рентгенология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984"/>
        <w:gridCol w:w="1985"/>
      </w:tblGrid>
      <w:tr w:rsidR="00157258" w:rsidRPr="00157258" w:rsidTr="008E3477">
        <w:trPr>
          <w:trHeight w:val="1908"/>
        </w:trPr>
        <w:tc>
          <w:tcPr>
            <w:tcW w:w="567" w:type="dxa"/>
          </w:tcPr>
          <w:p w:rsidR="00157258" w:rsidRPr="00157258" w:rsidRDefault="00157258" w:rsidP="00157258">
            <w:pPr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Тема самостоятельной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Форма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57258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Форма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контактной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работы при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проведении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текущего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57258">
              <w:rPr>
                <w:sz w:val="28"/>
                <w:szCs w:val="28"/>
              </w:rPr>
              <w:t>контроля</w:t>
            </w:r>
          </w:p>
        </w:tc>
      </w:tr>
      <w:tr w:rsidR="00157258" w:rsidRPr="00157258" w:rsidTr="008E3477">
        <w:trPr>
          <w:trHeight w:val="328"/>
        </w:trPr>
        <w:tc>
          <w:tcPr>
            <w:tcW w:w="567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57258" w:rsidRPr="00157258" w:rsidTr="008E3477">
        <w:trPr>
          <w:trHeight w:val="313"/>
        </w:trPr>
        <w:tc>
          <w:tcPr>
            <w:tcW w:w="9356" w:type="dxa"/>
            <w:gridSpan w:val="5"/>
          </w:tcPr>
          <w:p w:rsidR="00157258" w:rsidRPr="00157258" w:rsidRDefault="00157258" w:rsidP="0015725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57258">
              <w:rPr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157258" w:rsidTr="008E3477">
        <w:trPr>
          <w:trHeight w:val="3524"/>
        </w:trPr>
        <w:tc>
          <w:tcPr>
            <w:tcW w:w="567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Тема «Общие вопросы рентгенологии»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518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 xml:space="preserve">Тема: «Современные рентгенодиагностические аппараты и комплексы»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«Рентгеновская фототехника»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</w:t>
            </w:r>
            <w:r w:rsidRPr="00157258">
              <w:rPr>
                <w:sz w:val="28"/>
                <w:szCs w:val="28"/>
              </w:rPr>
              <w:lastRenderedPageBreak/>
              <w:t xml:space="preserve">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тестирование; проверка </w:t>
            </w:r>
            <w:r w:rsidRPr="00157258">
              <w:rPr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 xml:space="preserve">Тема: «Рентгеновская </w:t>
            </w:r>
            <w:proofErr w:type="spellStart"/>
            <w:r w:rsidRPr="00157258">
              <w:rPr>
                <w:iCs/>
                <w:color w:val="000000"/>
                <w:sz w:val="28"/>
                <w:szCs w:val="28"/>
              </w:rPr>
              <w:t>скиалогия</w:t>
            </w:r>
            <w:proofErr w:type="spellEnd"/>
            <w:r w:rsidRPr="00157258">
              <w:rPr>
                <w:iCs/>
                <w:color w:val="000000"/>
                <w:sz w:val="28"/>
                <w:szCs w:val="28"/>
              </w:rPr>
              <w:t>, основы анализа и интерпретации рентгеновского изображения»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«Физические и технические основы компьютерной томографии»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«Современные принципы и методики компьютерно-</w:t>
            </w:r>
            <w:proofErr w:type="spellStart"/>
            <w:r w:rsidRPr="00157258">
              <w:rPr>
                <w:iCs/>
                <w:color w:val="000000"/>
                <w:sz w:val="28"/>
                <w:szCs w:val="28"/>
              </w:rPr>
              <w:t>томографической</w:t>
            </w:r>
            <w:proofErr w:type="spellEnd"/>
            <w:r w:rsidRPr="00157258">
              <w:rPr>
                <w:iCs/>
                <w:color w:val="000000"/>
                <w:sz w:val="28"/>
                <w:szCs w:val="28"/>
              </w:rPr>
              <w:t xml:space="preserve"> диагностики заболеваний и </w:t>
            </w:r>
            <w:r w:rsidRPr="00157258">
              <w:rPr>
                <w:iCs/>
                <w:color w:val="000000"/>
                <w:sz w:val="28"/>
                <w:szCs w:val="28"/>
              </w:rPr>
              <w:lastRenderedPageBreak/>
              <w:t>повреждений черепа и головного мозга»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Работа с конспектом лекции; работа над учебным материалом (основной и дополнительной литературы, ресурсов Интернет – официаль</w:t>
            </w:r>
            <w:r w:rsidRPr="00157258">
              <w:rPr>
                <w:sz w:val="28"/>
                <w:szCs w:val="28"/>
              </w:rPr>
              <w:lastRenderedPageBreak/>
              <w:t xml:space="preserve">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тестирование; проверка </w:t>
            </w:r>
            <w:r w:rsidRPr="00157258">
              <w:rPr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«Современные принципы и методики компьютерно-</w:t>
            </w:r>
            <w:proofErr w:type="spellStart"/>
            <w:r w:rsidRPr="00157258">
              <w:rPr>
                <w:iCs/>
                <w:color w:val="000000"/>
                <w:sz w:val="28"/>
                <w:szCs w:val="28"/>
              </w:rPr>
              <w:t>томографической</w:t>
            </w:r>
            <w:proofErr w:type="spellEnd"/>
            <w:r w:rsidRPr="00157258">
              <w:rPr>
                <w:iCs/>
                <w:color w:val="000000"/>
                <w:sz w:val="28"/>
                <w:szCs w:val="28"/>
              </w:rPr>
              <w:t xml:space="preserve"> диагностики заболеваний и повреждений органов грудной клетки»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«Современные принципы и методики компьютерно-</w:t>
            </w:r>
            <w:proofErr w:type="spellStart"/>
            <w:r w:rsidRPr="00157258">
              <w:rPr>
                <w:iCs/>
                <w:color w:val="000000"/>
                <w:sz w:val="28"/>
                <w:szCs w:val="28"/>
              </w:rPr>
              <w:t>томографической</w:t>
            </w:r>
            <w:proofErr w:type="spellEnd"/>
            <w:r w:rsidRPr="00157258">
              <w:rPr>
                <w:iCs/>
                <w:color w:val="000000"/>
                <w:sz w:val="28"/>
                <w:szCs w:val="28"/>
              </w:rPr>
              <w:t xml:space="preserve"> диагностики заболеваний и повреждений пищеварительной системы»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«Современные принципы и методики компьютерно-</w:t>
            </w:r>
            <w:proofErr w:type="spellStart"/>
            <w:r w:rsidRPr="00157258">
              <w:rPr>
                <w:iCs/>
                <w:color w:val="000000"/>
                <w:sz w:val="28"/>
                <w:szCs w:val="28"/>
              </w:rPr>
              <w:t>томографической</w:t>
            </w:r>
            <w:proofErr w:type="spellEnd"/>
            <w:r w:rsidRPr="00157258">
              <w:rPr>
                <w:iCs/>
                <w:color w:val="000000"/>
                <w:sz w:val="28"/>
                <w:szCs w:val="28"/>
              </w:rPr>
              <w:t xml:space="preserve"> диагностики заболеваний и повреждений </w:t>
            </w:r>
            <w:r w:rsidRPr="00157258">
              <w:rPr>
                <w:iCs/>
                <w:color w:val="000000"/>
                <w:sz w:val="28"/>
                <w:szCs w:val="28"/>
              </w:rPr>
              <w:lastRenderedPageBreak/>
              <w:t xml:space="preserve">органов и тканей забрюшинного </w:t>
            </w:r>
            <w:proofErr w:type="spellStart"/>
            <w:r w:rsidRPr="00157258">
              <w:rPr>
                <w:iCs/>
                <w:color w:val="000000"/>
                <w:sz w:val="28"/>
                <w:szCs w:val="28"/>
              </w:rPr>
              <w:t>пространс</w:t>
            </w:r>
            <w:proofErr w:type="spellEnd"/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</w:t>
            </w:r>
            <w:r w:rsidRPr="00157258">
              <w:rPr>
                <w:sz w:val="28"/>
                <w:szCs w:val="28"/>
              </w:rPr>
              <w:lastRenderedPageBreak/>
              <w:t xml:space="preserve">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28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«Современные принципы и методики компьютерно-</w:t>
            </w:r>
            <w:proofErr w:type="spellStart"/>
            <w:r w:rsidRPr="00157258">
              <w:rPr>
                <w:iCs/>
                <w:color w:val="000000"/>
                <w:sz w:val="28"/>
                <w:szCs w:val="28"/>
              </w:rPr>
              <w:t>томографической</w:t>
            </w:r>
            <w:proofErr w:type="spellEnd"/>
            <w:r w:rsidRPr="00157258">
              <w:rPr>
                <w:iCs/>
                <w:color w:val="000000"/>
                <w:sz w:val="28"/>
                <w:szCs w:val="28"/>
              </w:rPr>
              <w:t xml:space="preserve"> диагностики костно-суставной системы»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«Физические и технические основы магнитно-резонансной томографии»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tbl>
      <w:tblPr>
        <w:tblW w:w="103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3125"/>
        <w:gridCol w:w="2709"/>
        <w:gridCol w:w="9"/>
        <w:gridCol w:w="2239"/>
        <w:gridCol w:w="9"/>
        <w:gridCol w:w="1756"/>
        <w:gridCol w:w="26"/>
      </w:tblGrid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Тема самостоятельной 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самостоятельной работы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Форма контроля самостоятельной работы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контактной 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работы при 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проведении 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текущего 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контроля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Самостоятельная работа в рамках практических занятий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Тема «Основы магнитно-резонансной томографии при заболеваниях и повреждениях внутренних органов и центральной нервной системы»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Тема «Физические основы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радионуклидной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диагностики, методики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радионуклидных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исследований»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tabs>
                <w:tab w:val="center" w:pos="1101"/>
              </w:tabs>
              <w:spacing w:after="160" w:line="247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«Применение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исследований в клинике»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Тема «Радиационная защита в рентгенологии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sz w:val="28"/>
                <w:szCs w:val="28"/>
              </w:rPr>
              <w:t>Тема «Дифференциальная рентгенодиагностика заболеваний и повреждений нервной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sz w:val="28"/>
                <w:szCs w:val="28"/>
              </w:rPr>
              <w:t>Тема «Дифференциальная рентгенодиагностика заболеваний и повреждений глаза и глазницы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sz w:val="28"/>
                <w:szCs w:val="28"/>
              </w:rPr>
              <w:t xml:space="preserve"> Тема «Дифференциальная рентгенодиагностика заболеваний и повреждений ЛОР-органов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sz w:val="28"/>
                <w:szCs w:val="28"/>
              </w:rPr>
              <w:t>Тема «Дифференциальная рентгенодиагностика заболеваний и повреждений челюстно-лицевой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sz w:val="28"/>
                <w:szCs w:val="28"/>
              </w:rPr>
              <w:t>Тема «Современные методики рентгенологического исследования органов дыхания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sz w:val="28"/>
                <w:szCs w:val="28"/>
              </w:rPr>
              <w:t>Тема «Дифференциальная рентгенодиагностика аномалий и пороков развития легких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  <w:tc>
          <w:tcPr>
            <w:tcW w:w="26" w:type="dxa"/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7258" w:rsidTr="0015725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</w:pPr>
            <w:r>
              <w:rPr>
                <w:sz w:val="28"/>
                <w:szCs w:val="28"/>
              </w:rPr>
              <w:t>Тема «Дифференциальная рентгенодиагностика неопухолевых заболеваний легких и плевры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157258" w:rsidRDefault="00157258" w:rsidP="008E3477">
            <w:pPr>
              <w:spacing w:after="160" w:line="247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Default="00157258" w:rsidP="008E3477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7E31A0" w:rsidRDefault="00157258" w:rsidP="00157258">
            <w:pPr>
              <w:spacing w:after="160" w:line="247" w:lineRule="auto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Тема самостоятельной </w:t>
            </w:r>
          </w:p>
          <w:p w:rsidR="00157258" w:rsidRPr="007E31A0" w:rsidRDefault="00157258" w:rsidP="00157258">
            <w:pPr>
              <w:spacing w:after="160" w:line="247" w:lineRule="auto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>самостоятельной работы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>Форма контроля самостоятельной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 xml:space="preserve">контактной </w:t>
            </w:r>
          </w:p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 xml:space="preserve">работы при </w:t>
            </w:r>
          </w:p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 xml:space="preserve">проведении </w:t>
            </w:r>
          </w:p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 xml:space="preserve">текущего </w:t>
            </w:r>
          </w:p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>контроля</w:t>
            </w:r>
          </w:p>
        </w:tc>
      </w:tr>
      <w:tr w:rsidR="00157258" w:rsidRPr="007E31A0" w:rsidTr="0015725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2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58" w:rsidRPr="00157258" w:rsidRDefault="00157258" w:rsidP="00157258">
            <w:pPr>
              <w:spacing w:after="160"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725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984"/>
        <w:gridCol w:w="1985"/>
      </w:tblGrid>
      <w:tr w:rsidR="00157258" w:rsidRPr="007E31A0" w:rsidTr="00157258">
        <w:trPr>
          <w:trHeight w:val="313"/>
        </w:trPr>
        <w:tc>
          <w:tcPr>
            <w:tcW w:w="9356" w:type="dxa"/>
            <w:gridSpan w:val="5"/>
          </w:tcPr>
          <w:p w:rsidR="00157258" w:rsidRPr="007E31A0" w:rsidRDefault="00157258" w:rsidP="008E347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E31A0">
              <w:rPr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7E31A0" w:rsidTr="00157258">
        <w:trPr>
          <w:trHeight w:val="3524"/>
        </w:trPr>
        <w:tc>
          <w:tcPr>
            <w:tcW w:w="567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E31A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1A0">
              <w:rPr>
                <w:sz w:val="28"/>
                <w:szCs w:val="28"/>
              </w:rPr>
              <w:t>Тема «</w:t>
            </w:r>
            <w:r w:rsidRPr="0097222E">
              <w:rPr>
                <w:color w:val="000000"/>
                <w:sz w:val="28"/>
                <w:szCs w:val="28"/>
                <w:shd w:val="clear" w:color="auto" w:fill="FFFFFF"/>
              </w:rPr>
              <w:t>Дифференциальная рентгенодиагностика опухолей легких и плевры</w:t>
            </w:r>
          </w:p>
          <w:p w:rsidR="00157258" w:rsidRPr="007E31A0" w:rsidRDefault="00157258" w:rsidP="008E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518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  <w:shd w:val="clear" w:color="auto" w:fill="FFFFFF"/>
              </w:rPr>
              <w:t>Дифференциальная рентгенодиагностика заболеваний средостения и диафрагмы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13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</w:rPr>
              <w:t xml:space="preserve">Современные методики лучевого исследования </w:t>
            </w:r>
            <w:r w:rsidRPr="0097222E">
              <w:rPr>
                <w:color w:val="000000"/>
                <w:sz w:val="28"/>
                <w:szCs w:val="28"/>
              </w:rPr>
              <w:lastRenderedPageBreak/>
              <w:t>пищеварительной системы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(основной и дополнительной литературы, ресурсов Интернет – </w:t>
            </w:r>
            <w:r w:rsidRPr="007E31A0">
              <w:rPr>
                <w:sz w:val="28"/>
                <w:szCs w:val="28"/>
              </w:rPr>
              <w:lastRenderedPageBreak/>
              <w:t xml:space="preserve">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13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26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  <w:shd w:val="clear" w:color="auto" w:fill="FFFFFF"/>
              </w:rPr>
              <w:t>Дифференциальная диагностика заболеваний пищевода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13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  <w:shd w:val="clear" w:color="auto" w:fill="FFFFFF"/>
              </w:rPr>
              <w:t>Дифференциальная рентгенодиагностика заболеваний желудка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13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  <w:shd w:val="clear" w:color="auto" w:fill="FFFFFF"/>
              </w:rPr>
              <w:t>Дифференциальная диагностика заболеваний кишечника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7E31A0">
              <w:rPr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13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29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  <w:shd w:val="clear" w:color="auto" w:fill="FFFFFF"/>
              </w:rPr>
              <w:t>Рентгенодиагностика заболеваний печени, желчных путей и поджелудочной железы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13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</w:rPr>
              <w:t>Рентгенодиагностика острых заболеваний и повреждений пищеварительной системы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13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  <w:shd w:val="clear" w:color="auto" w:fill="FFFFFF"/>
              </w:rPr>
              <w:t>Рентгенодиагностика заболеваний молочной железы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28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32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</w:rPr>
              <w:t>Современные методики рентгенологического исследования сердца и крупных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222E">
              <w:rPr>
                <w:color w:val="000000"/>
                <w:sz w:val="28"/>
                <w:szCs w:val="28"/>
              </w:rPr>
              <w:t>сосудов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E31A0" w:rsidTr="00157258">
        <w:trPr>
          <w:trHeight w:val="313"/>
        </w:trPr>
        <w:tc>
          <w:tcPr>
            <w:tcW w:w="567" w:type="dxa"/>
          </w:tcPr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97222E" w:rsidRDefault="00157258" w:rsidP="008E347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97222E">
              <w:rPr>
                <w:color w:val="000000"/>
                <w:sz w:val="28"/>
                <w:szCs w:val="28"/>
              </w:rPr>
              <w:t>Дифференциальная рентгенодиагностика врожденных и приобретенных пороков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222E">
              <w:rPr>
                <w:color w:val="000000"/>
                <w:sz w:val="28"/>
                <w:szCs w:val="28"/>
              </w:rPr>
              <w:t>сердца</w:t>
            </w:r>
          </w:p>
          <w:p w:rsidR="00157258" w:rsidRPr="007E31A0" w:rsidRDefault="00157258" w:rsidP="008E347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E31A0" w:rsidRDefault="00157258" w:rsidP="008E3477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5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Дифференциальная диагностика заболеваний миокарда и перикарда”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</w:t>
            </w:r>
            <w:r w:rsidRPr="7E807635">
              <w:rPr>
                <w:sz w:val="28"/>
                <w:szCs w:val="28"/>
              </w:rPr>
              <w:lastRenderedPageBreak/>
              <w:t>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Дифференциальная рентгенодиагностика заболеваний и повреждений сосудов”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Современные методики лучевой диагностики поражений костно-суставной системы”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Дифференциальная рентгенодиагностика нарушений развития костей и суставов”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</w:t>
            </w:r>
            <w:r w:rsidRPr="7E807635">
              <w:rPr>
                <w:sz w:val="28"/>
                <w:szCs w:val="28"/>
              </w:rPr>
              <w:lastRenderedPageBreak/>
              <w:t>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Дифференциальная рентгенодиагностика повреждений костей и суставов”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Дифференциальная рентгенодиагностика воспалительных заболеваний, дегенеративных и дистрофических поражений костей и суставов”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Дифференциальная рентгенодиагностика опухолей и опухолеподобных образований костей и суставов”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</w:t>
            </w:r>
            <w:r w:rsidRPr="7E807635">
              <w:rPr>
                <w:sz w:val="28"/>
                <w:szCs w:val="28"/>
              </w:rPr>
              <w:lastRenderedPageBreak/>
              <w:t>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Современные методики лучевого исследования почек и мочевыводящих путей”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Дифференциальная рентгенодиагностика неопухолевых заболеваний и повреждений почек и мочевыводящих путей”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Дифференциальная рентгенодиагностика опухолей почек и мочевыводящих путей”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</w:t>
            </w:r>
            <w:r w:rsidRPr="7E807635">
              <w:rPr>
                <w:sz w:val="28"/>
                <w:szCs w:val="28"/>
              </w:rPr>
              <w:lastRenderedPageBreak/>
              <w:t>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Tr="00157258">
        <w:tc>
          <w:tcPr>
            <w:tcW w:w="567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proofErr w:type="gramStart"/>
            <w:r w:rsidRPr="7E807635">
              <w:rPr>
                <w:sz w:val="28"/>
                <w:szCs w:val="28"/>
              </w:rPr>
              <w:t>Тема  “</w:t>
            </w:r>
            <w:proofErr w:type="gramEnd"/>
            <w:r w:rsidRPr="7E807635">
              <w:rPr>
                <w:sz w:val="28"/>
                <w:szCs w:val="28"/>
              </w:rPr>
              <w:t>Рентгенодиагностика в акушерстве и гинекологии”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157258" w:rsidRDefault="00157258" w:rsidP="008E34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Default="00157258" w:rsidP="008E3477">
            <w:pPr>
              <w:rPr>
                <w:sz w:val="28"/>
                <w:szCs w:val="28"/>
              </w:rPr>
            </w:pPr>
            <w:r w:rsidRPr="7E807635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</w:t>
      </w:r>
      <w:r w:rsidRPr="00B13647">
        <w:rPr>
          <w:sz w:val="28"/>
        </w:rPr>
        <w:lastRenderedPageBreak/>
        <w:t>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66" w:rsidRDefault="00686266" w:rsidP="00FD5B6B">
      <w:r>
        <w:separator/>
      </w:r>
    </w:p>
  </w:endnote>
  <w:endnote w:type="continuationSeparator" w:id="0">
    <w:p w:rsidR="00686266" w:rsidRDefault="0068626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57258">
      <w:rPr>
        <w:noProof/>
      </w:rPr>
      <w:t>22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66" w:rsidRDefault="00686266" w:rsidP="00FD5B6B">
      <w:r>
        <w:separator/>
      </w:r>
    </w:p>
  </w:footnote>
  <w:footnote w:type="continuationSeparator" w:id="0">
    <w:p w:rsidR="00686266" w:rsidRDefault="0068626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57258"/>
    <w:rsid w:val="00177287"/>
    <w:rsid w:val="001D4FA7"/>
    <w:rsid w:val="001F5EE1"/>
    <w:rsid w:val="0024749A"/>
    <w:rsid w:val="0026698D"/>
    <w:rsid w:val="002D278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5</cp:revision>
  <dcterms:created xsi:type="dcterms:W3CDTF">2019-06-18T03:50:00Z</dcterms:created>
  <dcterms:modified xsi:type="dcterms:W3CDTF">2019-10-01T03:24:00Z</dcterms:modified>
</cp:coreProperties>
</file>