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CA" w:rsidRDefault="00F065CA" w:rsidP="00F065CA">
      <w:pPr>
        <w:pStyle w:val="a9"/>
        <w:spacing w:line="360" w:lineRule="auto"/>
        <w:jc w:val="both"/>
        <w:rPr>
          <w:b/>
          <w:sz w:val="32"/>
        </w:rPr>
      </w:pPr>
      <w:r>
        <w:rPr>
          <w:b/>
          <w:sz w:val="32"/>
        </w:rPr>
        <w:t xml:space="preserve">Тема: </w:t>
      </w:r>
      <w:r w:rsidRPr="00F065CA">
        <w:rPr>
          <w:b/>
          <w:sz w:val="32"/>
        </w:rPr>
        <w:t xml:space="preserve">Организация Школ Здоровья для пациентов с артериальной гипертонией  </w:t>
      </w:r>
    </w:p>
    <w:p w:rsidR="000A750F" w:rsidRPr="00F065CA" w:rsidRDefault="000A750F" w:rsidP="00F065CA">
      <w:pPr>
        <w:pStyle w:val="a9"/>
        <w:spacing w:line="360" w:lineRule="auto"/>
        <w:jc w:val="both"/>
        <w:rPr>
          <w:b/>
          <w:sz w:val="32"/>
        </w:rPr>
      </w:pPr>
      <w:r>
        <w:rPr>
          <w:rFonts w:cs="Times New Roman"/>
          <w:iCs w:val="0"/>
          <w:color w:val="000000"/>
          <w:sz w:val="28"/>
          <w:szCs w:val="28"/>
        </w:rPr>
        <w:t xml:space="preserve">         </w:t>
      </w:r>
      <w:r w:rsidRPr="000A750F">
        <w:rPr>
          <w:rFonts w:cs="Times New Roman"/>
          <w:iCs w:val="0"/>
          <w:color w:val="000000"/>
          <w:sz w:val="28"/>
          <w:szCs w:val="28"/>
        </w:rPr>
        <w:t>Основными тенденциями в профилактике в настоящее время в стране и в мире является формирование у населения здорового образа жизни через гигиеническое воспитание и обучение. Курение табака, наркомания, неправильное питание, употребление алкоголя, неблагополучие окружающей среды, условий труда и техники безопасности - все это важные и в то же время устранимые причины ухудшения здоровья.</w:t>
      </w:r>
      <w:r w:rsidRPr="000A750F">
        <w:rPr>
          <w:rFonts w:cs="Times New Roman"/>
          <w:iCs w:val="0"/>
          <w:color w:val="000000"/>
          <w:sz w:val="28"/>
          <w:szCs w:val="28"/>
        </w:rPr>
        <w:br/>
        <w:t xml:space="preserve">        Приоритетность профилактического направления в ходе реформ здравоохранения в нашей стране определена в документах Правительства, Министерства здравоохранения и социальной защиты РФ. С 2009 года в приоритетный национальный проект "Здоровье" включено новое направление - формирование здорового образа жизни.</w:t>
      </w:r>
      <w:r w:rsidRPr="000A750F">
        <w:rPr>
          <w:rFonts w:cs="Times New Roman"/>
          <w:iCs w:val="0"/>
          <w:color w:val="000000"/>
          <w:sz w:val="28"/>
          <w:szCs w:val="28"/>
        </w:rPr>
        <w:br/>
      </w:r>
      <w:proofErr w:type="gramStart"/>
      <w:r w:rsidRPr="000A750F">
        <w:rPr>
          <w:rFonts w:cs="Times New Roman"/>
          <w:iCs w:val="0"/>
          <w:color w:val="000000"/>
          <w:sz w:val="28"/>
          <w:szCs w:val="28"/>
        </w:rPr>
        <w:t>Школа здоровья - это совокупность средств и методов индивидуального и группового воздействия на пациентов, направленная на повышение уровня их знаний, информированности и практических навыков по рациональному лечению заболевания, профилактике осложнений и повышению качества жизни, направленная на формирование у пациентов мотивации к сохранению своего здоровья и повышению ответственности пациентов за свое здоровье, как своей личной собственности.</w:t>
      </w:r>
      <w:proofErr w:type="gramEnd"/>
      <w:r w:rsidRPr="000A750F">
        <w:rPr>
          <w:rFonts w:cs="Times New Roman"/>
          <w:iCs w:val="0"/>
          <w:color w:val="000000"/>
          <w:sz w:val="28"/>
          <w:szCs w:val="28"/>
        </w:rPr>
        <w:br/>
        <w:t xml:space="preserve">          Большинство хронических заболеваний в настоящее время нельзя излечить, но можно обеспечивать профилактику осложнений, что может существенно продлить жизнь больных и повысить ее качество.</w:t>
      </w:r>
      <w:r w:rsidRPr="000A750F">
        <w:rPr>
          <w:rFonts w:cs="Times New Roman"/>
          <w:iCs w:val="0"/>
          <w:color w:val="000000"/>
          <w:sz w:val="28"/>
          <w:szCs w:val="28"/>
        </w:rPr>
        <w:br/>
        <w:t xml:space="preserve">        Однако успешно контролировать хроническое заболевание без активного участия пациента не представляется возможным. При посещении Школы у пациентов формируется рациональное и активное отношение к здоровью, мотивация к оздоровлению, соблюдению режима лечения, формируются партнерские отношения с лечащим врачом.</w:t>
      </w:r>
      <w:r w:rsidRPr="000A750F">
        <w:rPr>
          <w:rFonts w:cs="Times New Roman"/>
          <w:iCs w:val="0"/>
          <w:color w:val="000000"/>
          <w:sz w:val="28"/>
          <w:szCs w:val="28"/>
        </w:rPr>
        <w:br/>
      </w:r>
    </w:p>
    <w:p w:rsidR="00F065CA" w:rsidRDefault="00F065CA" w:rsidP="00F065CA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32"/>
        </w:rPr>
        <w:lastRenderedPageBreak/>
        <w:t xml:space="preserve">        </w:t>
      </w:r>
      <w:r w:rsidRPr="000A750F">
        <w:rPr>
          <w:sz w:val="28"/>
          <w:szCs w:val="28"/>
        </w:rPr>
        <w:t xml:space="preserve">Эффективный контроль артериальной гипертонии (АГ) предполагает назначение рациональной гипотензивной терапии, существенной составляющей которой  являются мероприятия по изменению образа жизни. Однако, согласно многочисленным исследованиям, в России официально зарегистрировано более 40 млн. больных АГ, из которых лишь около 10% получают адекватную терапию. Анализ причин  неудовлетворительного контроля  АГ в реальной практике свидетельствует, что основной помехой повышению качества медицинской профилактической помощи является низкая приверженность  пациентов к выполнению  врачебных назначений, что </w:t>
      </w:r>
      <w:proofErr w:type="gramStart"/>
      <w:r w:rsidRPr="000A750F">
        <w:rPr>
          <w:sz w:val="28"/>
          <w:szCs w:val="28"/>
        </w:rPr>
        <w:t>связано</w:t>
      </w:r>
      <w:proofErr w:type="gramEnd"/>
      <w:r w:rsidRPr="000A750F">
        <w:rPr>
          <w:sz w:val="28"/>
          <w:szCs w:val="28"/>
        </w:rPr>
        <w:t xml:space="preserve"> прежде всего  с недостаточной информированностью больных об имеющемся  заболевании и его возможных  осложнениях. Так,  70% больных имеют </w:t>
      </w:r>
      <w:proofErr w:type="gramStart"/>
      <w:r w:rsidRPr="000A750F">
        <w:rPr>
          <w:sz w:val="28"/>
          <w:szCs w:val="28"/>
        </w:rPr>
        <w:t>мягкую</w:t>
      </w:r>
      <w:proofErr w:type="gramEnd"/>
      <w:r w:rsidRPr="000A750F">
        <w:rPr>
          <w:sz w:val="28"/>
          <w:szCs w:val="28"/>
        </w:rPr>
        <w:t xml:space="preserve"> АГ, к врачам не обращаются  и не знают о своем здоровье. Даже среди больных с АГ, находящихся на диспансерном наблюдении у врача, частота факторов риска заболевания остается высокой, что неблагоприятно для прогноза.  Исследованиями последних лет показано, что одним из основных методов, повышающим полноту и  точность выполнения врачебных назначений, является профилактическое консультирование, предусматривающее  не только информирование, но и обучение пациентов в Школах здоровья.</w:t>
      </w:r>
    </w:p>
    <w:p w:rsidR="00F065CA" w:rsidRPr="000A750F" w:rsidRDefault="00DD0C1F" w:rsidP="00F065CA">
      <w:pPr>
        <w:pStyle w:val="a9"/>
        <w:spacing w:line="360" w:lineRule="auto"/>
        <w:jc w:val="both"/>
        <w:rPr>
          <w:sz w:val="28"/>
          <w:szCs w:val="28"/>
        </w:rPr>
      </w:pPr>
      <w:r w:rsidRPr="00DD0C1F">
        <w:rPr>
          <w:rFonts w:cs="Times New Roman"/>
          <w:b/>
          <w:iCs w:val="0"/>
          <w:color w:val="000000"/>
          <w:sz w:val="28"/>
          <w:szCs w:val="28"/>
        </w:rPr>
        <w:t>Порядок организации занятий в Школах здоровья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Занятия в Школе проводят участковые врачи и медицинские сестры, врачи-специалисты по профилю школы или отдельного занятия, владеющие теоретическими и практическими навыками гигиенического воспитания населения в области сохранения здоровья и профилактики заболеваний.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   Обучение в Школе должно проводиться медицинскими работниками, способными оценить эффективность обучения, владеющими навыками убеждения, умеющими сопереживать пациентам, грамотно и доходчиво рассказывать, учитывая возможности познавательных функций </w:t>
      </w:r>
      <w:r w:rsidRPr="00DD0C1F">
        <w:rPr>
          <w:rFonts w:cs="Times New Roman"/>
          <w:iCs w:val="0"/>
          <w:color w:val="000000"/>
          <w:sz w:val="28"/>
          <w:szCs w:val="28"/>
        </w:rPr>
        <w:lastRenderedPageBreak/>
        <w:t>пациентов и их эмоциональное состояние. Занятия можно проводить в поликлинике, в стационарах круглосуточного и дневного пребывания, на фельдшерско-акушерском пункте, в санаториях.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Контингент слушателей для занятий в Школе отбирается врачом или фельдшером на основании данных анамнеза, результатов клинико-инструментальных и лабораторных исследований с учетом возраста, состояния здоровья и сопутствующих заболеваний. Занятия проводятся в группах</w:t>
      </w:r>
      <w:r>
        <w:rPr>
          <w:rFonts w:cs="Times New Roman"/>
          <w:iCs w:val="0"/>
          <w:color w:val="000000"/>
          <w:sz w:val="28"/>
          <w:szCs w:val="28"/>
        </w:rPr>
        <w:t xml:space="preserve"> </w:t>
      </w:r>
      <w:r w:rsidRPr="00DD0C1F">
        <w:rPr>
          <w:rFonts w:cs="Times New Roman"/>
          <w:iCs w:val="0"/>
          <w:color w:val="000000"/>
          <w:sz w:val="28"/>
          <w:szCs w:val="28"/>
        </w:rPr>
        <w:t>по 10 - 12 человек.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Рекомендуемое число занятий - от 5 до 8, возможно с периодичностью 1 - 2 раза в неделю. Продолжительность занятий не более 1 - 1,5 часа, лучше во второй половине дня для удобства работающих пациентов и соблюдения лечебно-охранительного режима для лиц, находящихся на стационарном лечении.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В структуре проведения каждого занятия необходимо соблюдать следующие пропорции: 20 - 30% - лекционный материал, 30 - 50% - практическая часть, 20 - 30% - ответы на вопросы, обсуждение или дискуссия, 10% - индивидуальное консультирование. Процесс обучения состоит из 5 уровней: получение знаний, понимание полученной информации, принятие ее, появление мотивации к выполнению рекомендаций, применение рекомендаций на практике и в жизни.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На первом уровне обучения медицинский работник помогает слушателю понять суть своего состояния, показывает влияние образа жизни и привычек на здоровье, убеждает в необходимости соблюдения рекомендаций по лечению, объясняет преимущества здорового образа жизни, индивидуально корректирует факторы риска для предупреждения осложнений. С этой целью разрабатывается программа обучения, включающая темы теоретических и практических занятий.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  Для того</w:t>
      </w:r>
      <w:proofErr w:type="gramStart"/>
      <w:r w:rsidRPr="00DD0C1F">
        <w:rPr>
          <w:rFonts w:cs="Times New Roman"/>
          <w:iCs w:val="0"/>
          <w:color w:val="000000"/>
          <w:sz w:val="28"/>
          <w:szCs w:val="28"/>
        </w:rPr>
        <w:t>,</w:t>
      </w:r>
      <w:proofErr w:type="gramEnd"/>
      <w:r w:rsidRPr="00DD0C1F">
        <w:rPr>
          <w:rFonts w:cs="Times New Roman"/>
          <w:iCs w:val="0"/>
          <w:color w:val="000000"/>
          <w:sz w:val="28"/>
          <w:szCs w:val="28"/>
        </w:rPr>
        <w:t xml:space="preserve"> чтобы пациент максимально понял полученную информацию, необходимо использовать разные методики и формы обучения. Для лучшего понимания темы занятия используются наглядные </w:t>
      </w:r>
      <w:r w:rsidRPr="00DD0C1F">
        <w:rPr>
          <w:rFonts w:cs="Times New Roman"/>
          <w:iCs w:val="0"/>
          <w:color w:val="000000"/>
          <w:sz w:val="28"/>
          <w:szCs w:val="28"/>
        </w:rPr>
        <w:lastRenderedPageBreak/>
        <w:t xml:space="preserve">пособия, плакаты и муляжи. С этой же целью информационный материал должен сопровождаться презентацией или </w:t>
      </w:r>
      <w:proofErr w:type="spellStart"/>
      <w:r w:rsidRPr="00DD0C1F">
        <w:rPr>
          <w:rFonts w:cs="Times New Roman"/>
          <w:iCs w:val="0"/>
          <w:color w:val="000000"/>
          <w:sz w:val="28"/>
          <w:szCs w:val="28"/>
        </w:rPr>
        <w:t>видеодемонстрацией</w:t>
      </w:r>
      <w:proofErr w:type="spellEnd"/>
      <w:r w:rsidRPr="00DD0C1F">
        <w:rPr>
          <w:rFonts w:cs="Times New Roman"/>
          <w:iCs w:val="0"/>
          <w:color w:val="000000"/>
          <w:sz w:val="28"/>
          <w:szCs w:val="28"/>
        </w:rPr>
        <w:t>. Форма изложения темы может быть самой разнообразной: в виде диалога, круглого стола, деловой игры или тренинга, театрализованного представления. В процессе обучения пациент должен сам выбрать те факторы риска, на которые он может повлиять. Врач может лишь посоветовать больному, какими проблемами ему надо заняться в первую очередь. При этом советы по изменению образа жизни должны быть точно сформулированы и реалистичны.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  Необходимо понимать, что знания - это важный, но недостаточный стимул для того, чтобы изменить свое поведение. Для каждого человека повод и мотивация к изменениям очень индивидуальны, помочь пациенту в поиске мотива надо попытаться во время занятий в Школе здоровья. Он должен стать активным и ответственным участником терапевтического процесса, а не ограничиваться пассивным подчинением назначениям врача.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Среди психологических влияний на эффективность обучения существенную роль играет фактор, который можно назвать "готовностью к изменениям в поведении". В 1983 - 86 гг. И. </w:t>
      </w:r>
      <w:proofErr w:type="spellStart"/>
      <w:r w:rsidRPr="00DD0C1F">
        <w:rPr>
          <w:rFonts w:cs="Times New Roman"/>
          <w:iCs w:val="0"/>
          <w:color w:val="000000"/>
          <w:sz w:val="28"/>
          <w:szCs w:val="28"/>
        </w:rPr>
        <w:t>Прочаска</w:t>
      </w:r>
      <w:proofErr w:type="spellEnd"/>
      <w:r w:rsidRPr="00DD0C1F">
        <w:rPr>
          <w:rFonts w:cs="Times New Roman"/>
          <w:iCs w:val="0"/>
          <w:color w:val="000000"/>
          <w:sz w:val="28"/>
          <w:szCs w:val="28"/>
        </w:rPr>
        <w:t xml:space="preserve"> и К. </w:t>
      </w:r>
      <w:proofErr w:type="spellStart"/>
      <w:r w:rsidRPr="00DD0C1F">
        <w:rPr>
          <w:rFonts w:cs="Times New Roman"/>
          <w:iCs w:val="0"/>
          <w:color w:val="000000"/>
          <w:sz w:val="28"/>
          <w:szCs w:val="28"/>
        </w:rPr>
        <w:t>Ди</w:t>
      </w:r>
      <w:proofErr w:type="spellEnd"/>
      <w:r w:rsidRPr="00DD0C1F">
        <w:rPr>
          <w:rFonts w:cs="Times New Roman"/>
          <w:iCs w:val="0"/>
          <w:color w:val="000000"/>
          <w:sz w:val="28"/>
          <w:szCs w:val="28"/>
        </w:rPr>
        <w:t xml:space="preserve"> </w:t>
      </w:r>
      <w:proofErr w:type="spellStart"/>
      <w:r w:rsidRPr="00DD0C1F">
        <w:rPr>
          <w:rFonts w:cs="Times New Roman"/>
          <w:iCs w:val="0"/>
          <w:color w:val="000000"/>
          <w:sz w:val="28"/>
          <w:szCs w:val="28"/>
        </w:rPr>
        <w:t>Клементе</w:t>
      </w:r>
      <w:proofErr w:type="spellEnd"/>
      <w:r w:rsidRPr="00DD0C1F">
        <w:rPr>
          <w:rFonts w:cs="Times New Roman"/>
          <w:iCs w:val="0"/>
          <w:color w:val="000000"/>
          <w:sz w:val="28"/>
          <w:szCs w:val="28"/>
        </w:rPr>
        <w:t xml:space="preserve"> обосновали так называемую "спиральную модель" процесса изменения поведения. Ее основной концепцией является обоснование стадийности изменений поведения человека, который пытается отказаться от определенных пристрастий или перейти к другому, более здоровому образу жизни.</w:t>
      </w:r>
      <w:r w:rsidRPr="00DD0C1F">
        <w:rPr>
          <w:rFonts w:cs="Times New Roman"/>
          <w:iCs w:val="0"/>
          <w:color w:val="000000"/>
          <w:sz w:val="28"/>
          <w:szCs w:val="28"/>
        </w:rPr>
        <w:br/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  В соответствии с этой моделью процесс изменений состоит из нескольких стадий.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>1 стадия - безразличие. Пациент не осознает, что его поведение является проблемным и приносит вред здоровью, избегает обсуждения проблемы и возможностей перемен.</w:t>
      </w:r>
      <w:r w:rsidRPr="00DD0C1F">
        <w:rPr>
          <w:rFonts w:cs="Times New Roman"/>
          <w:iCs w:val="0"/>
          <w:color w:val="000000"/>
          <w:sz w:val="28"/>
          <w:szCs w:val="28"/>
        </w:rPr>
        <w:br/>
      </w:r>
      <w:r w:rsidRPr="00DD0C1F">
        <w:rPr>
          <w:rFonts w:cs="Times New Roman"/>
          <w:iCs w:val="0"/>
          <w:color w:val="000000"/>
          <w:sz w:val="28"/>
          <w:szCs w:val="28"/>
        </w:rPr>
        <w:lastRenderedPageBreak/>
        <w:t>2 стадия - обдумывание изменений. Пациент начинает задумываться над возможными последствиями своего поведения. Он признает, что его образ жизни не является правильным и это во многом определяет состояние его здоровья. Эта стадия предполагает активный поиск информации и характеризуется большой озабоченностью своего неправильного поведения.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>3 стадия - подготовка к изменениям. Пациент начинает осознавать проблему, обдумывает конкретные планы действий, преодоления трудностей и препятствий. Стадия завершается принятием решения, что характеризуется твердым намерением пациента осуществить перемены в своем поведении.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>4 стадия - действия. Пациент модифицирует свое поведение, связанное с заболеванием, изменяет привычки, наблюдает за контрольными параметрами, участвует в лечебном процессе.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>5 стадия - поддержание адекватного заболеванию поведения. Это финальная стадия процесса, на которой самоконтроль приобретает большую или меньшую стабильность. Процесс перемены подходит к концу, когда вырабатывается максимум уверенности в своих способностях противостоять срыву в лечении.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       Следует учитывать, что в процессе изменения поведения типичным является рецидив, т.е. возврат к прежнему, "неправильному" поведению, который может случаться на любой из перечисленных стадий. Рецидив не означает окончания процесса. Большинство пациентов, переживающих такой эпизод, вновь включаются в процесс перемен, т.к. человек, хотя бы раз испытавший сомнения и обдумавший необходимость изменить образ жизни, все равно неизбежно возвращается к этому.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Иногда пациент сам находит стимул для изменения поведения. Однако</w:t>
      </w:r>
      <w:proofErr w:type="gramStart"/>
      <w:r w:rsidRPr="00DD0C1F">
        <w:rPr>
          <w:rFonts w:cs="Times New Roman"/>
          <w:iCs w:val="0"/>
          <w:color w:val="000000"/>
          <w:sz w:val="28"/>
          <w:szCs w:val="28"/>
        </w:rPr>
        <w:t>,</w:t>
      </w:r>
      <w:proofErr w:type="gramEnd"/>
      <w:r w:rsidRPr="00DD0C1F">
        <w:rPr>
          <w:rFonts w:cs="Times New Roman"/>
          <w:iCs w:val="0"/>
          <w:color w:val="000000"/>
          <w:sz w:val="28"/>
          <w:szCs w:val="28"/>
        </w:rPr>
        <w:t xml:space="preserve"> если такого стимула нет, не нужно настаивать. Необходимо уважать взгляды больного. Если больной наотрез отказывается принять ответственность за свое здоровье, следует предоставить ему возможность </w:t>
      </w:r>
      <w:r w:rsidRPr="00DD0C1F">
        <w:rPr>
          <w:rFonts w:cs="Times New Roman"/>
          <w:iCs w:val="0"/>
          <w:color w:val="000000"/>
          <w:sz w:val="28"/>
          <w:szCs w:val="28"/>
        </w:rPr>
        <w:lastRenderedPageBreak/>
        <w:t>оставаться на этой позиции. В конце концов, медицинский работник всего лишь помощник.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 Изменение мотивации пациента к выполнению рекомендаций медицинских работников необходимо закрепить на практике. Практические упражнения и ролевые игры - важный компонент обучения, их лучше использовать после каждого теоретического занятия. В этом случае вероятность применения врачебных рекомендаций после обучения значительно возрастает.</w:t>
      </w:r>
      <w:r w:rsidRPr="00DD0C1F">
        <w:rPr>
          <w:rFonts w:cs="Times New Roman"/>
          <w:iCs w:val="0"/>
          <w:color w:val="000000"/>
          <w:sz w:val="28"/>
          <w:szCs w:val="28"/>
        </w:rPr>
        <w:br/>
        <w:t xml:space="preserve">          Во время занятий обучаемые ведут записи и дневник самоконтроля предложенного образца в соответствии с направлением Школы. На первом и заключительном занятиях проводится тестирование пациентов для выяснения степени информированности. Пациентам, прошедшим обучение в Школе, выдаются памятки с практическими советами, делается запись в амбулаторной карте. Информация о проведении Школы здоровья должна быть размещена в виде объявления в регистратуре и, по возможности, освещена в средствах массовой информации.</w:t>
      </w:r>
      <w:r w:rsidRPr="00DD0C1F">
        <w:rPr>
          <w:rFonts w:cs="Times New Roman"/>
          <w:iCs w:val="0"/>
          <w:color w:val="000000"/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="00F065CA" w:rsidRPr="000A750F">
        <w:rPr>
          <w:sz w:val="28"/>
          <w:szCs w:val="28"/>
        </w:rPr>
        <w:t xml:space="preserve">Методика обучения пациентов  в Школе включает групповое обсуждение с пациентами большинства проблем, предоставление необходимой медицинской информации и практических рекомендаций в определенном алгоритме обучения. Участие пациентов в групповом обучении  дает им не только необходимые знания, но и обеспечивает социальную </w:t>
      </w:r>
      <w:proofErr w:type="gramStart"/>
      <w:r w:rsidR="00F065CA" w:rsidRPr="000A750F">
        <w:rPr>
          <w:sz w:val="28"/>
          <w:szCs w:val="28"/>
        </w:rPr>
        <w:t>поддержку</w:t>
      </w:r>
      <w:proofErr w:type="gramEnd"/>
      <w:r w:rsidR="00F065CA" w:rsidRPr="000A750F">
        <w:rPr>
          <w:sz w:val="28"/>
          <w:szCs w:val="28"/>
        </w:rPr>
        <w:t xml:space="preserve"> как со стороны медицинских работников, так и со стороны других пациентов. Такая форма обучения (Школа)  способствует формированию у обучаемых адекватных представлений о причинах заболевания, дает понимание факторов, влияющих на прогноз, значительно повышает приверженность больных рекомендациям и назначениям врача, позволяет квалифицированно обучать больных навыкам преодоления патогенных стереотипов поведения. </w:t>
      </w:r>
    </w:p>
    <w:p w:rsidR="00F065CA" w:rsidRPr="000A750F" w:rsidRDefault="00F065CA" w:rsidP="00F065CA">
      <w:pPr>
        <w:pStyle w:val="a9"/>
        <w:spacing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 xml:space="preserve">      Школа для пациентов – это совокупность средств и методов индивидуального и группового  воздействия на пациентов и население, </w:t>
      </w:r>
      <w:r w:rsidRPr="000A750F">
        <w:rPr>
          <w:sz w:val="28"/>
          <w:szCs w:val="28"/>
        </w:rPr>
        <w:lastRenderedPageBreak/>
        <w:t xml:space="preserve">направленная на повышение уровня их знаний, информированности и практических навыков по рациональному лечению заболевания, профилактике осложнений и повышению качества жизни. </w:t>
      </w:r>
    </w:p>
    <w:p w:rsidR="00F065CA" w:rsidRPr="000A750F" w:rsidRDefault="00F065CA" w:rsidP="00DD0C1F">
      <w:pPr>
        <w:pStyle w:val="a6"/>
        <w:spacing w:line="360" w:lineRule="auto"/>
        <w:ind w:left="284"/>
        <w:rPr>
          <w:sz w:val="28"/>
          <w:szCs w:val="28"/>
        </w:rPr>
      </w:pPr>
      <w:r w:rsidRPr="000A750F">
        <w:rPr>
          <w:sz w:val="28"/>
          <w:szCs w:val="28"/>
        </w:rPr>
        <w:t>Школа Здоровья для пациентов с артериальной гипертонией  является организационной формой профилактического группового консультирования (Гигиенического обучения и воспитания – по МКБ-10 в классе ХХ</w:t>
      </w:r>
      <w:proofErr w:type="gramStart"/>
      <w:r w:rsidRPr="000A750F">
        <w:rPr>
          <w:sz w:val="28"/>
          <w:szCs w:val="28"/>
          <w:lang w:val="en-US"/>
        </w:rPr>
        <w:t>I</w:t>
      </w:r>
      <w:proofErr w:type="gramEnd"/>
      <w:r w:rsidRPr="000A750F">
        <w:rPr>
          <w:sz w:val="28"/>
          <w:szCs w:val="28"/>
        </w:rPr>
        <w:t xml:space="preserve">, </w:t>
      </w:r>
      <w:r w:rsidRPr="000A750F">
        <w:rPr>
          <w:sz w:val="28"/>
          <w:szCs w:val="28"/>
          <w:lang w:val="en-US"/>
        </w:rPr>
        <w:t>Z</w:t>
      </w:r>
      <w:r w:rsidRPr="000A750F">
        <w:rPr>
          <w:sz w:val="28"/>
          <w:szCs w:val="28"/>
        </w:rPr>
        <w:t xml:space="preserve"> 70-76), является медицинской профилактической  услугой, оказываемой пациентам с АГ. (Отраслевой классификатор «Сложные и комплексные медицинские услуги» – 91500.09.0002-2001, приказ МЗ РФ № 268 от 16.07.2001 г. «Система стандартизации в здравоохранении Российской Федерации» и классифицируется 04.015.01:04 – медицинские услуги по профилактике; 015 – кардиология; 01 – Школа для пациентов с АГ).</w:t>
      </w:r>
    </w:p>
    <w:p w:rsidR="00F065CA" w:rsidRPr="000A750F" w:rsidRDefault="00F065CA" w:rsidP="00DD0C1F">
      <w:pPr>
        <w:pStyle w:val="a9"/>
        <w:spacing w:line="360" w:lineRule="auto"/>
        <w:ind w:left="284"/>
        <w:jc w:val="both"/>
        <w:rPr>
          <w:sz w:val="28"/>
          <w:szCs w:val="28"/>
        </w:rPr>
      </w:pPr>
      <w:r w:rsidRPr="000A750F">
        <w:rPr>
          <w:sz w:val="28"/>
          <w:szCs w:val="28"/>
        </w:rPr>
        <w:t xml:space="preserve">     Цель организации Школы – оптимизация, совершенствование и повышение охвата, доступности и качества медицинской  профилактической помощи  населению с АГ, а  целью обучения следует считать повышение приверженности пациентов с АГ выполнению рекомендаций  врача.</w:t>
      </w:r>
    </w:p>
    <w:p w:rsidR="00F065CA" w:rsidRPr="000A750F" w:rsidRDefault="00F065CA" w:rsidP="00F065CA">
      <w:pPr>
        <w:pStyle w:val="a9"/>
        <w:spacing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После окончания обучения в Школе  пациенты должны знать:</w:t>
      </w:r>
    </w:p>
    <w:p w:rsidR="00F065CA" w:rsidRPr="000A750F" w:rsidRDefault="00F065CA" w:rsidP="00F065CA">
      <w:pPr>
        <w:pStyle w:val="a9"/>
        <w:spacing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- причины, симптомы повышения артериального давления (АД) и обострений заболевания (кризов, нарушений мозгового кровообращения, стенокардии, инфарктов миокарда);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факторы риска развития осложнений заболевания;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основы самоконтроля АД;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средства доврачебной самопомощи при повышении АД;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основы здорового питания и питание при АГ;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принципы диеты при ожирении;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влияние физической активности на здоровье;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 xml:space="preserve">влияние </w:t>
      </w:r>
      <w:proofErr w:type="spellStart"/>
      <w:r w:rsidRPr="000A750F">
        <w:rPr>
          <w:sz w:val="28"/>
          <w:szCs w:val="28"/>
        </w:rPr>
        <w:t>табакокурения</w:t>
      </w:r>
      <w:proofErr w:type="spellEnd"/>
      <w:r w:rsidRPr="000A750F">
        <w:rPr>
          <w:sz w:val="28"/>
          <w:szCs w:val="28"/>
        </w:rPr>
        <w:t xml:space="preserve"> на здоровье;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lastRenderedPageBreak/>
        <w:t>основные группы гипотензивных препаратов, показания и основные побочные действия лекарств, понижающих АД.</w:t>
      </w:r>
    </w:p>
    <w:p w:rsidR="00F065CA" w:rsidRPr="000A750F" w:rsidRDefault="00F065CA" w:rsidP="00F065CA">
      <w:pPr>
        <w:pStyle w:val="a9"/>
        <w:spacing w:line="360" w:lineRule="auto"/>
        <w:jc w:val="both"/>
        <w:rPr>
          <w:sz w:val="28"/>
          <w:szCs w:val="28"/>
        </w:rPr>
      </w:pPr>
    </w:p>
    <w:p w:rsidR="00F065CA" w:rsidRPr="000A750F" w:rsidRDefault="00F065CA" w:rsidP="00F065CA">
      <w:pPr>
        <w:pStyle w:val="a9"/>
        <w:spacing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После окончания обучения  в школе пациенты должны уметь: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вести дневник пациента;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 xml:space="preserve">проводить самооценку и </w:t>
      </w:r>
      <w:proofErr w:type="gramStart"/>
      <w:r w:rsidRPr="000A750F">
        <w:rPr>
          <w:sz w:val="28"/>
          <w:szCs w:val="28"/>
        </w:rPr>
        <w:t>контроль за</w:t>
      </w:r>
      <w:proofErr w:type="gramEnd"/>
      <w:r w:rsidRPr="000A750F">
        <w:rPr>
          <w:sz w:val="28"/>
          <w:szCs w:val="28"/>
        </w:rPr>
        <w:t xml:space="preserve"> уровнем АД и факторами, влияющими на течение заболевания;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следовать назначениям врача, не заниматься самолечением;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применять средства доврачебной помощи и самопомощи;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контролировать вес тела;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контролировать основные факторы, приводящие к осложнениям;</w:t>
      </w:r>
    </w:p>
    <w:p w:rsidR="00F065CA" w:rsidRPr="000A750F" w:rsidRDefault="00F065CA" w:rsidP="00F065CA">
      <w:pPr>
        <w:pStyle w:val="a9"/>
        <w:widowControl/>
        <w:numPr>
          <w:ilvl w:val="0"/>
          <w:numId w:val="3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контролировать  уровень стресса, стрессовое поведение и отношение к нему.</w:t>
      </w:r>
    </w:p>
    <w:p w:rsid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</w:p>
    <w:p w:rsid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037C8E">
        <w:rPr>
          <w:b/>
          <w:sz w:val="28"/>
          <w:szCs w:val="28"/>
        </w:rPr>
        <w:t>Для организации занятий в Школе для пациентов</w:t>
      </w:r>
      <w:r w:rsidRPr="00037C8E">
        <w:rPr>
          <w:sz w:val="28"/>
          <w:szCs w:val="28"/>
        </w:rPr>
        <w:t xml:space="preserve"> в лечебно-профилактическом учреждении необходимо следующее:</w:t>
      </w:r>
    </w:p>
    <w:p w:rsidR="00037C8E" w:rsidRPr="000A750F" w:rsidRDefault="00037C8E" w:rsidP="00037C8E">
      <w:pPr>
        <w:pStyle w:val="a9"/>
        <w:spacing w:line="360" w:lineRule="auto"/>
        <w:ind w:left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0A750F">
        <w:rPr>
          <w:sz w:val="28"/>
          <w:szCs w:val="28"/>
        </w:rPr>
        <w:t>Школа организуется руководителем медицинского учреждения.               В приказе утверждаются  ответственные лица за выполнение этого вида медицинских услуг,  порядок и формы направления  пациентов на обучение в Школе, статистические формы  регистрации и учета, инструкция по оценке качества и эффективности работы, план и график работы закрепленного помещения для проведения занятий, перечень оборудования. Руководитель учреждения обеспечивает также подготовку специалистов для выполнения этой работы. Непосредственно в учреждении, где организуется школа, инициатором ее создания должен быть кабинет медицинской профилактики.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>1. Изучить нормативные и методические документы по созданию Школы здоровья того или иного профиля, обдумать наименование Школы.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 xml:space="preserve">2. Подготовить приказ по лечебному учреждению, в котором утверждено </w:t>
      </w:r>
      <w:r w:rsidRPr="00037C8E">
        <w:rPr>
          <w:sz w:val="28"/>
          <w:szCs w:val="28"/>
        </w:rPr>
        <w:lastRenderedPageBreak/>
        <w:t>положение по организации Школ здоровья, назначен ответственный за организацию и отчетность Школы здоровья в учреждении, определен список специалистов, участвующих в проведении занятий с пациентами.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 xml:space="preserve">  3. Обучить медицинский персонал, готовый участвовать в проведении занятий в Школе.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>4. Разработать положение об организации работы Школы в учреждении, включающее порядок работы Школы, программу обучения, продолжительность обучающего цикла, продумать техническое оснащение, критерии эффективности, анкеты, формы учета и отчетности.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 xml:space="preserve">5. </w:t>
      </w:r>
      <w:proofErr w:type="gramStart"/>
      <w:r w:rsidRPr="00037C8E">
        <w:rPr>
          <w:sz w:val="28"/>
          <w:szCs w:val="28"/>
        </w:rPr>
        <w:t xml:space="preserve">Подготовить помещение для проведения занятий, наглядный материал, памятки, муляжи, плакаты, видеоматериалы, оборудовать кабинет специальным оборудованием: тонометры, спирометры, </w:t>
      </w:r>
      <w:proofErr w:type="spellStart"/>
      <w:r w:rsidRPr="00037C8E">
        <w:rPr>
          <w:sz w:val="28"/>
          <w:szCs w:val="28"/>
        </w:rPr>
        <w:t>глюкометры</w:t>
      </w:r>
      <w:proofErr w:type="spellEnd"/>
      <w:r w:rsidRPr="00037C8E">
        <w:rPr>
          <w:sz w:val="28"/>
          <w:szCs w:val="28"/>
        </w:rPr>
        <w:t>, весы, ростомер, доска, экран, телевизор, проекционное оборудование, компьютер, мультимедийный проектор, видеотехника и др.</w:t>
      </w:r>
      <w:proofErr w:type="gramEnd"/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 xml:space="preserve">          </w:t>
      </w:r>
      <w:proofErr w:type="gramStart"/>
      <w:r w:rsidRPr="00037C8E">
        <w:rPr>
          <w:sz w:val="28"/>
          <w:szCs w:val="28"/>
        </w:rPr>
        <w:t>Ответственный</w:t>
      </w:r>
      <w:proofErr w:type="gramEnd"/>
      <w:r w:rsidRPr="00037C8E">
        <w:rPr>
          <w:sz w:val="28"/>
          <w:szCs w:val="28"/>
        </w:rPr>
        <w:t xml:space="preserve"> за организацию работы Школы ведет следующую учетно-отчетную документацию: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>1. "Журнал учета работы Школы здоровья".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 xml:space="preserve">2. </w:t>
      </w:r>
      <w:proofErr w:type="gramStart"/>
      <w:r w:rsidRPr="00037C8E">
        <w:rPr>
          <w:sz w:val="28"/>
          <w:szCs w:val="28"/>
        </w:rPr>
        <w:t xml:space="preserve">В конце года анализирует работу Школ здоровья в учреждении здравоохранения и заполняет отчетные формы о деятельности Школ здоровья: таблицу N 4809 годовой отчетной формы N 30 "Сведения о лечебно-профилактическом учреждении", утвержденной постановлением Госкомстата России от 10.09.2002 N 175 (раздел IV, пункт 10 "Деятельность отделений/кабинетов </w:t>
      </w:r>
      <w:proofErr w:type="spellStart"/>
      <w:r w:rsidRPr="00037C8E">
        <w:rPr>
          <w:sz w:val="28"/>
          <w:szCs w:val="28"/>
        </w:rPr>
        <w:t>медпрофилактики</w:t>
      </w:r>
      <w:proofErr w:type="spellEnd"/>
      <w:r w:rsidRPr="00037C8E">
        <w:rPr>
          <w:sz w:val="28"/>
          <w:szCs w:val="28"/>
        </w:rPr>
        <w:t>") и "Годовой отчет о работе Школ здоровья" в учреждении здравоохранения.</w:t>
      </w:r>
      <w:proofErr w:type="gramEnd"/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 xml:space="preserve">        Отчет о работе Школ здоровья составляется ежеквартально и 1 раз в </w:t>
      </w:r>
      <w:r w:rsidRPr="00037C8E">
        <w:rPr>
          <w:sz w:val="28"/>
          <w:szCs w:val="28"/>
        </w:rPr>
        <w:lastRenderedPageBreak/>
        <w:t>год вместе с ежегодным годовым отчетом с анализом критериев эффективности. В нем должно быть обязательно указано: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>1. Количество проведенных за год обучающих циклов в данной Школе.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>2. Общее число обученных пациентов, распределение их по полу, возрасту и социальному положению.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>3. Число пациентов, обученных первично и повторно.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37C8E">
        <w:rPr>
          <w:sz w:val="28"/>
          <w:szCs w:val="28"/>
        </w:rPr>
        <w:t xml:space="preserve">         Система оценки является важным элементом контроля качества обучения пациентов в Школе, которая позволяет установить конструктивную обратную связь между пациентами и обучающим персоналом. Информация, полученная в ходе оценки, может быть использована для внесения изменений в обучающую программу, что является важным условием обеспечения динамизма, необходимого в организации непрерывного лечебно-обучающего процесса.</w:t>
      </w:r>
    </w:p>
    <w:p w:rsidR="00F065CA" w:rsidRPr="000A750F" w:rsidRDefault="00037C8E" w:rsidP="00F065CA">
      <w:pPr>
        <w:pStyle w:val="a9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F065CA" w:rsidRPr="000A750F">
        <w:rPr>
          <w:sz w:val="28"/>
          <w:szCs w:val="28"/>
        </w:rPr>
        <w:t>Целевой группой  обучения в Школе являются пациенты с АГ 1-3 степени с низким, средним, высоким риском.  Больные  с осложненным течением АГ или ассоциированными клиническими состояниями  должны обучаться по отдельным программам профилактики и реабилитации.</w:t>
      </w:r>
    </w:p>
    <w:p w:rsidR="00F065CA" w:rsidRPr="000A750F" w:rsidRDefault="00F065CA" w:rsidP="00F065CA">
      <w:pPr>
        <w:pStyle w:val="a9"/>
        <w:spacing w:line="360" w:lineRule="auto"/>
        <w:ind w:firstLine="539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Пациенты направляются на занятия в Школе врачом   общей   практики (семейным врачом) или участковым терапевтом  с заполненным по форме направлением, которое утверждается  главным врачом. Образец направления представлен на рисунке  1. Группы для обучения в Школе формируются из пациентов, имеющих близкие уровни АД и один  уровень риска. Занятия рекомендуется проводить  небольшими группами  по 8-10 человек,  продолжительностью  90 –120 минут с частотой 2-3 раза в неделю в удобное для всех время. Режим работы Школы может быть определен в каждом учреждении в зависимости от конкретных условий.</w:t>
      </w:r>
    </w:p>
    <w:p w:rsidR="00F065CA" w:rsidRPr="000A750F" w:rsidRDefault="00F065CA" w:rsidP="00F065CA">
      <w:pPr>
        <w:pStyle w:val="a9"/>
        <w:spacing w:line="360" w:lineRule="auto"/>
        <w:jc w:val="both"/>
        <w:rPr>
          <w:sz w:val="28"/>
          <w:szCs w:val="28"/>
        </w:rPr>
      </w:pPr>
      <w:proofErr w:type="gramStart"/>
      <w:r w:rsidRPr="000A750F">
        <w:rPr>
          <w:sz w:val="28"/>
          <w:szCs w:val="28"/>
        </w:rPr>
        <w:t>Для проведения занятий необходимы:</w:t>
      </w:r>
      <w:proofErr w:type="gramEnd"/>
    </w:p>
    <w:p w:rsidR="00F065CA" w:rsidRPr="000A750F" w:rsidRDefault="00F065CA" w:rsidP="00F065CA">
      <w:pPr>
        <w:pStyle w:val="a9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 xml:space="preserve">помещение; </w:t>
      </w:r>
    </w:p>
    <w:p w:rsidR="00F065CA" w:rsidRPr="000A750F" w:rsidRDefault="00F065CA" w:rsidP="00F065CA">
      <w:pPr>
        <w:pStyle w:val="a9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lastRenderedPageBreak/>
        <w:t>стол, желательно круглый, удобные стулья или кресла для проведения достаточно продолжительных занятий;</w:t>
      </w:r>
    </w:p>
    <w:p w:rsidR="00F065CA" w:rsidRPr="000A750F" w:rsidRDefault="00F065CA" w:rsidP="00F065CA">
      <w:pPr>
        <w:pStyle w:val="a9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 xml:space="preserve">демонстрационные материалы: плакаты, таблицы, </w:t>
      </w:r>
      <w:proofErr w:type="spellStart"/>
      <w:r w:rsidRPr="000A750F">
        <w:rPr>
          <w:sz w:val="28"/>
          <w:szCs w:val="28"/>
        </w:rPr>
        <w:t>оверхед</w:t>
      </w:r>
      <w:proofErr w:type="spellEnd"/>
      <w:r w:rsidRPr="000A750F">
        <w:rPr>
          <w:sz w:val="28"/>
          <w:szCs w:val="28"/>
        </w:rPr>
        <w:t>, проектор, доска;</w:t>
      </w:r>
    </w:p>
    <w:p w:rsidR="00F065CA" w:rsidRPr="000A750F" w:rsidRDefault="00F065CA" w:rsidP="00F065CA">
      <w:pPr>
        <w:pStyle w:val="a9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печатные материалы (раздаточный материал) для закрепления полученной на занятиях информации (памятки, брошюры, листовки и т.д.);</w:t>
      </w:r>
    </w:p>
    <w:p w:rsidR="00F065CA" w:rsidRPr="000A750F" w:rsidRDefault="00F065CA" w:rsidP="00F065CA">
      <w:pPr>
        <w:pStyle w:val="a9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несколько комплектов тонометров и фонендоскопов для обучения больных методике измерения АД;</w:t>
      </w:r>
    </w:p>
    <w:p w:rsidR="00F065CA" w:rsidRPr="000A750F" w:rsidRDefault="00F065CA" w:rsidP="00F065CA">
      <w:pPr>
        <w:pStyle w:val="a9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ростомер, весы, сантиметр, калькулятор, таблицы для определения индекса массы тела;</w:t>
      </w:r>
    </w:p>
    <w:p w:rsidR="00F065CA" w:rsidRPr="000A750F" w:rsidRDefault="00F065CA" w:rsidP="00F065CA">
      <w:pPr>
        <w:pStyle w:val="a9"/>
        <w:widowControl/>
        <w:numPr>
          <w:ilvl w:val="0"/>
          <w:numId w:val="4"/>
        </w:numPr>
        <w:autoSpaceDE/>
        <w:autoSpaceDN/>
        <w:adjustRightInd/>
        <w:spacing w:after="0" w:line="360" w:lineRule="auto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дневник пациента.</w:t>
      </w:r>
    </w:p>
    <w:p w:rsidR="00F065CA" w:rsidRPr="000A750F" w:rsidRDefault="00F065CA" w:rsidP="00F065CA">
      <w:pPr>
        <w:pStyle w:val="a9"/>
        <w:spacing w:line="360" w:lineRule="auto"/>
        <w:ind w:firstLine="539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Обучение в Школе могут проводить врачи (врачи общей практики, терапевты, кардиологи, с привлечением врачей ЛФК и диетологов), медицинские сестры с высшим сестринским образованием, фельдшера, прошедшие специальную подготовку по программе «Организация школ здоровья для пациентов с артериальной гипертонией».</w:t>
      </w:r>
    </w:p>
    <w:p w:rsidR="00037C8E" w:rsidRDefault="00F065CA" w:rsidP="00037C8E">
      <w:pPr>
        <w:pStyle w:val="a9"/>
        <w:spacing w:line="360" w:lineRule="auto"/>
        <w:ind w:left="540"/>
        <w:jc w:val="both"/>
        <w:rPr>
          <w:sz w:val="28"/>
          <w:szCs w:val="28"/>
        </w:rPr>
      </w:pPr>
      <w:r w:rsidRPr="000A750F">
        <w:rPr>
          <w:sz w:val="28"/>
          <w:szCs w:val="28"/>
        </w:rPr>
        <w:t>Полная программа обучения состоит из цикла структурированных занятий продолжительностью 90 минут каждое. Всего в цикл входят 8 занятий, из которых 7 являются обязательными, а одно («Курение и здоровье») направлено  на курящих пациентов и их родственников.  Школы могут быть трехдневными, когда те же темы излагаются за 3 занятия  по 120 минут, или однодневными</w:t>
      </w:r>
      <w:r w:rsidR="00037C8E">
        <w:rPr>
          <w:sz w:val="28"/>
          <w:szCs w:val="28"/>
        </w:rPr>
        <w:t>.</w:t>
      </w:r>
      <w:r w:rsidRPr="000A750F">
        <w:rPr>
          <w:sz w:val="28"/>
          <w:szCs w:val="28"/>
        </w:rPr>
        <w:t xml:space="preserve"> </w:t>
      </w:r>
    </w:p>
    <w:p w:rsidR="00037C8E" w:rsidRPr="00037C8E" w:rsidRDefault="00037C8E" w:rsidP="00037C8E">
      <w:pPr>
        <w:pStyle w:val="a9"/>
        <w:spacing w:line="360" w:lineRule="auto"/>
        <w:ind w:left="540"/>
        <w:jc w:val="both"/>
        <w:rPr>
          <w:rFonts w:cs="Times New Roman"/>
          <w:sz w:val="28"/>
          <w:szCs w:val="28"/>
        </w:rPr>
      </w:pPr>
      <w:r w:rsidRPr="00BF1715">
        <w:rPr>
          <w:rFonts w:cs="Times New Roman"/>
          <w:b/>
          <w:sz w:val="28"/>
          <w:szCs w:val="28"/>
        </w:rPr>
        <w:t>Образец направления</w:t>
      </w:r>
      <w:r w:rsidRPr="00037C8E">
        <w:rPr>
          <w:rFonts w:cs="Times New Roman"/>
          <w:sz w:val="28"/>
          <w:szCs w:val="28"/>
        </w:rPr>
        <w:t xml:space="preserve"> на обучение в Школу здоровья.</w:t>
      </w: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68"/>
        <w:gridCol w:w="1259"/>
        <w:gridCol w:w="903"/>
        <w:gridCol w:w="4601"/>
      </w:tblGrid>
      <w:tr w:rsidR="00F065CA" w:rsidRPr="000A750F" w:rsidTr="00A92653">
        <w:tc>
          <w:tcPr>
            <w:tcW w:w="2268" w:type="dxa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Ф.И.О.</w:t>
            </w:r>
          </w:p>
        </w:tc>
        <w:tc>
          <w:tcPr>
            <w:tcW w:w="6763" w:type="dxa"/>
            <w:gridSpan w:val="3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c>
          <w:tcPr>
            <w:tcW w:w="2268" w:type="dxa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Возраст</w:t>
            </w:r>
          </w:p>
        </w:tc>
        <w:tc>
          <w:tcPr>
            <w:tcW w:w="6763" w:type="dxa"/>
            <w:gridSpan w:val="3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c>
          <w:tcPr>
            <w:tcW w:w="2268" w:type="dxa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Профессия</w:t>
            </w:r>
          </w:p>
        </w:tc>
        <w:tc>
          <w:tcPr>
            <w:tcW w:w="6763" w:type="dxa"/>
            <w:gridSpan w:val="3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c>
          <w:tcPr>
            <w:tcW w:w="2268" w:type="dxa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lastRenderedPageBreak/>
              <w:t>Телефон</w:t>
            </w:r>
          </w:p>
        </w:tc>
        <w:tc>
          <w:tcPr>
            <w:tcW w:w="6763" w:type="dxa"/>
            <w:gridSpan w:val="3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c>
          <w:tcPr>
            <w:tcW w:w="2268" w:type="dxa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Диагноз</w:t>
            </w:r>
          </w:p>
        </w:tc>
        <w:tc>
          <w:tcPr>
            <w:tcW w:w="6763" w:type="dxa"/>
            <w:gridSpan w:val="3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c>
          <w:tcPr>
            <w:tcW w:w="2268" w:type="dxa"/>
            <w:tcBorders>
              <w:bottom w:val="triple" w:sz="4" w:space="0" w:color="auto"/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 xml:space="preserve">Ф.И.О. </w:t>
            </w:r>
            <w:proofErr w:type="spellStart"/>
            <w:r w:rsidRPr="000A750F">
              <w:rPr>
                <w:rFonts w:ascii="Comic Sans MS" w:hAnsi="Comic Sans MS"/>
                <w:sz w:val="28"/>
                <w:szCs w:val="28"/>
              </w:rPr>
              <w:t>леч</w:t>
            </w:r>
            <w:proofErr w:type="spellEnd"/>
            <w:r w:rsidRPr="000A750F">
              <w:rPr>
                <w:rFonts w:ascii="Comic Sans MS" w:hAnsi="Comic Sans MS"/>
                <w:sz w:val="28"/>
                <w:szCs w:val="28"/>
              </w:rPr>
              <w:t>. врача</w:t>
            </w:r>
          </w:p>
        </w:tc>
        <w:tc>
          <w:tcPr>
            <w:tcW w:w="6763" w:type="dxa"/>
            <w:gridSpan w:val="3"/>
            <w:tcBorders>
              <w:left w:val="triple" w:sz="4" w:space="0" w:color="auto"/>
              <w:bottom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rPr>
          <w:cantSplit/>
        </w:trPr>
        <w:tc>
          <w:tcPr>
            <w:tcW w:w="9031" w:type="dxa"/>
            <w:gridSpan w:val="4"/>
            <w:tcBorders>
              <w:top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i/>
                <w:iCs w:val="0"/>
                <w:sz w:val="28"/>
                <w:szCs w:val="28"/>
              </w:rPr>
            </w:pPr>
            <w:r w:rsidRPr="000A750F">
              <w:rPr>
                <w:rFonts w:ascii="Comic Sans MS" w:hAnsi="Comic Sans MS"/>
                <w:i/>
                <w:iCs w:val="0"/>
                <w:sz w:val="28"/>
                <w:szCs w:val="28"/>
              </w:rPr>
              <w:t>Результаты обследования, дата</w:t>
            </w:r>
          </w:p>
        </w:tc>
      </w:tr>
      <w:tr w:rsidR="00F065CA" w:rsidRPr="000A750F" w:rsidTr="00A92653">
        <w:tc>
          <w:tcPr>
            <w:tcW w:w="3527" w:type="dxa"/>
            <w:gridSpan w:val="2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АД (при последнем измерении)</w:t>
            </w:r>
          </w:p>
        </w:tc>
        <w:tc>
          <w:tcPr>
            <w:tcW w:w="5504" w:type="dxa"/>
            <w:gridSpan w:val="2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c>
          <w:tcPr>
            <w:tcW w:w="3527" w:type="dxa"/>
            <w:gridSpan w:val="2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Длительность АГ</w:t>
            </w:r>
          </w:p>
        </w:tc>
        <w:tc>
          <w:tcPr>
            <w:tcW w:w="5504" w:type="dxa"/>
            <w:gridSpan w:val="2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rPr>
          <w:cantSplit/>
        </w:trPr>
        <w:tc>
          <w:tcPr>
            <w:tcW w:w="3527" w:type="dxa"/>
            <w:gridSpan w:val="2"/>
            <w:vMerge w:val="restart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Перенесенные заболевания</w:t>
            </w:r>
          </w:p>
        </w:tc>
        <w:tc>
          <w:tcPr>
            <w:tcW w:w="5504" w:type="dxa"/>
            <w:gridSpan w:val="2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rPr>
          <w:cantSplit/>
        </w:trPr>
        <w:tc>
          <w:tcPr>
            <w:tcW w:w="3527" w:type="dxa"/>
            <w:gridSpan w:val="2"/>
            <w:vMerge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5504" w:type="dxa"/>
            <w:gridSpan w:val="2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c>
          <w:tcPr>
            <w:tcW w:w="3527" w:type="dxa"/>
            <w:gridSpan w:val="2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proofErr w:type="gramStart"/>
            <w:r w:rsidRPr="000A750F">
              <w:rPr>
                <w:rFonts w:ascii="Comic Sans MS" w:hAnsi="Comic Sans MS"/>
                <w:sz w:val="28"/>
                <w:szCs w:val="28"/>
              </w:rPr>
              <w:t xml:space="preserve">Сопутствующие </w:t>
            </w:r>
            <w:proofErr w:type="spellStart"/>
            <w:r w:rsidRPr="000A750F">
              <w:rPr>
                <w:rFonts w:ascii="Comic Sans MS" w:hAnsi="Comic Sans MS"/>
                <w:sz w:val="28"/>
                <w:szCs w:val="28"/>
              </w:rPr>
              <w:t>заболе-вания</w:t>
            </w:r>
            <w:proofErr w:type="spellEnd"/>
            <w:r w:rsidRPr="000A750F">
              <w:rPr>
                <w:rFonts w:ascii="Comic Sans MS" w:hAnsi="Comic Sans MS"/>
                <w:sz w:val="28"/>
                <w:szCs w:val="28"/>
              </w:rPr>
              <w:t xml:space="preserve"> (сахарный диабет, болезни почек.</w:t>
            </w:r>
            <w:proofErr w:type="gramEnd"/>
            <w:r w:rsidRPr="000A750F">
              <w:rPr>
                <w:rFonts w:ascii="Comic Sans MS" w:hAnsi="Comic Sans MS"/>
                <w:sz w:val="28"/>
                <w:szCs w:val="28"/>
              </w:rPr>
              <w:t xml:space="preserve"> </w:t>
            </w:r>
            <w:proofErr w:type="gramStart"/>
            <w:r w:rsidRPr="000A750F">
              <w:rPr>
                <w:rFonts w:ascii="Comic Sans MS" w:hAnsi="Comic Sans MS"/>
                <w:sz w:val="28"/>
                <w:szCs w:val="28"/>
              </w:rPr>
              <w:t>ХОБЛ и др.)</w:t>
            </w:r>
            <w:proofErr w:type="gramEnd"/>
          </w:p>
        </w:tc>
        <w:tc>
          <w:tcPr>
            <w:tcW w:w="5504" w:type="dxa"/>
            <w:gridSpan w:val="2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c>
          <w:tcPr>
            <w:tcW w:w="3527" w:type="dxa"/>
            <w:gridSpan w:val="2"/>
            <w:tcBorders>
              <w:bottom w:val="triple" w:sz="4" w:space="0" w:color="auto"/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Степень АГ</w:t>
            </w:r>
          </w:p>
        </w:tc>
        <w:tc>
          <w:tcPr>
            <w:tcW w:w="5504" w:type="dxa"/>
            <w:gridSpan w:val="2"/>
            <w:tcBorders>
              <w:left w:val="triple" w:sz="4" w:space="0" w:color="auto"/>
              <w:bottom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 xml:space="preserve"> Уровень суммарного риска</w:t>
            </w:r>
          </w:p>
        </w:tc>
      </w:tr>
      <w:tr w:rsidR="00F065CA" w:rsidRPr="000A750F" w:rsidTr="00A92653">
        <w:trPr>
          <w:cantSplit/>
        </w:trPr>
        <w:tc>
          <w:tcPr>
            <w:tcW w:w="4430" w:type="dxa"/>
            <w:gridSpan w:val="3"/>
            <w:tcBorders>
              <w:top w:val="triple" w:sz="4" w:space="0" w:color="auto"/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Общий холестерин (дата)</w:t>
            </w:r>
          </w:p>
        </w:tc>
        <w:tc>
          <w:tcPr>
            <w:tcW w:w="4601" w:type="dxa"/>
            <w:tcBorders>
              <w:top w:val="triple" w:sz="4" w:space="0" w:color="auto"/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Холестерин ЛВП (дата)</w:t>
            </w:r>
          </w:p>
        </w:tc>
      </w:tr>
      <w:tr w:rsidR="00F065CA" w:rsidRPr="000A750F" w:rsidTr="00A92653">
        <w:tc>
          <w:tcPr>
            <w:tcW w:w="4430" w:type="dxa"/>
            <w:gridSpan w:val="3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Триглицериды  (дата)</w:t>
            </w:r>
          </w:p>
        </w:tc>
        <w:tc>
          <w:tcPr>
            <w:tcW w:w="4601" w:type="dxa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Сахар крови натощак (дата)</w:t>
            </w:r>
          </w:p>
        </w:tc>
      </w:tr>
      <w:tr w:rsidR="00F065CA" w:rsidRPr="000A750F" w:rsidTr="00A92653">
        <w:tc>
          <w:tcPr>
            <w:tcW w:w="4430" w:type="dxa"/>
            <w:gridSpan w:val="3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ЭКГ (дата)</w:t>
            </w:r>
          </w:p>
        </w:tc>
        <w:tc>
          <w:tcPr>
            <w:tcW w:w="4601" w:type="dxa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rPr>
          <w:cantSplit/>
        </w:trPr>
        <w:tc>
          <w:tcPr>
            <w:tcW w:w="4430" w:type="dxa"/>
            <w:gridSpan w:val="3"/>
            <w:vMerge w:val="restart"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0A750F">
              <w:rPr>
                <w:rFonts w:ascii="Comic Sans MS" w:hAnsi="Comic Sans MS"/>
                <w:sz w:val="28"/>
                <w:szCs w:val="28"/>
              </w:rPr>
              <w:t>Другие исследования</w:t>
            </w:r>
          </w:p>
        </w:tc>
        <w:tc>
          <w:tcPr>
            <w:tcW w:w="4601" w:type="dxa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065CA" w:rsidRPr="000A750F" w:rsidTr="00A92653">
        <w:trPr>
          <w:cantSplit/>
        </w:trPr>
        <w:tc>
          <w:tcPr>
            <w:tcW w:w="4430" w:type="dxa"/>
            <w:gridSpan w:val="3"/>
            <w:vMerge/>
            <w:tcBorders>
              <w:righ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601" w:type="dxa"/>
            <w:tcBorders>
              <w:left w:val="triple" w:sz="4" w:space="0" w:color="auto"/>
            </w:tcBorders>
          </w:tcPr>
          <w:p w:rsidR="00F065CA" w:rsidRPr="000A750F" w:rsidRDefault="00F065CA" w:rsidP="00F065CA">
            <w:pPr>
              <w:pStyle w:val="a9"/>
              <w:spacing w:line="360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065CA" w:rsidRPr="000A750F" w:rsidRDefault="00F065CA" w:rsidP="00F065CA">
      <w:pPr>
        <w:pStyle w:val="a6"/>
        <w:spacing w:line="360" w:lineRule="auto"/>
        <w:rPr>
          <w:rStyle w:val="a8"/>
          <w:sz w:val="28"/>
          <w:szCs w:val="28"/>
        </w:rPr>
      </w:pPr>
    </w:p>
    <w:p w:rsidR="005B29CC" w:rsidRPr="000A750F" w:rsidRDefault="005B29CC" w:rsidP="00F065CA">
      <w:pPr>
        <w:pStyle w:val="a6"/>
        <w:spacing w:line="360" w:lineRule="auto"/>
        <w:rPr>
          <w:sz w:val="28"/>
          <w:szCs w:val="28"/>
        </w:rPr>
      </w:pPr>
    </w:p>
    <w:p w:rsidR="008A65A5" w:rsidRPr="000A750F" w:rsidRDefault="00BF1715" w:rsidP="00F065CA">
      <w:pPr>
        <w:spacing w:line="360" w:lineRule="auto"/>
        <w:jc w:val="both"/>
        <w:rPr>
          <w:sz w:val="28"/>
          <w:szCs w:val="28"/>
        </w:rPr>
      </w:pPr>
    </w:p>
    <w:sectPr w:rsidR="008A65A5" w:rsidRPr="000A750F" w:rsidSect="00F94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A5583"/>
    <w:multiLevelType w:val="hybridMultilevel"/>
    <w:tmpl w:val="00FAEE56"/>
    <w:lvl w:ilvl="0" w:tplc="4C3E640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0A8668D9"/>
    <w:multiLevelType w:val="hybridMultilevel"/>
    <w:tmpl w:val="17E4D2F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E9D1480"/>
    <w:multiLevelType w:val="hybridMultilevel"/>
    <w:tmpl w:val="6F54465C"/>
    <w:lvl w:ilvl="0" w:tplc="107CB58A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5675F3B"/>
    <w:multiLevelType w:val="hybridMultilevel"/>
    <w:tmpl w:val="036217F0"/>
    <w:lvl w:ilvl="0" w:tplc="542EEE5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B29CC"/>
    <w:rsid w:val="00037C8E"/>
    <w:rsid w:val="000A750F"/>
    <w:rsid w:val="001B4BB4"/>
    <w:rsid w:val="004B42A8"/>
    <w:rsid w:val="005B29CC"/>
    <w:rsid w:val="00887153"/>
    <w:rsid w:val="00BF1715"/>
    <w:rsid w:val="00DD0C1F"/>
    <w:rsid w:val="00F065CA"/>
    <w:rsid w:val="00F94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B29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Arial"/>
      <w:iCs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uiPriority w:val="99"/>
    <w:semiHidden/>
    <w:unhideWhenUsed/>
    <w:rsid w:val="005B29CC"/>
    <w:pPr>
      <w:spacing w:after="120"/>
    </w:pPr>
  </w:style>
  <w:style w:type="character" w:customStyle="1" w:styleId="a5">
    <w:name w:val="Основной текст Знак"/>
    <w:basedOn w:val="a1"/>
    <w:link w:val="a4"/>
    <w:uiPriority w:val="99"/>
    <w:semiHidden/>
    <w:rsid w:val="005B29CC"/>
    <w:rPr>
      <w:rFonts w:ascii="Times New Roman" w:eastAsia="Times New Roman" w:hAnsi="Times New Roman" w:cs="Arial"/>
      <w:iCs/>
      <w:sz w:val="20"/>
      <w:szCs w:val="20"/>
      <w:lang w:eastAsia="ru-RU"/>
    </w:rPr>
  </w:style>
  <w:style w:type="paragraph" w:styleId="a6">
    <w:name w:val="Body Text First Indent"/>
    <w:basedOn w:val="a4"/>
    <w:link w:val="a7"/>
    <w:rsid w:val="005B29CC"/>
    <w:pPr>
      <w:widowControl/>
      <w:spacing w:after="0"/>
      <w:ind w:firstLine="284"/>
      <w:jc w:val="both"/>
    </w:pPr>
  </w:style>
  <w:style w:type="character" w:customStyle="1" w:styleId="a7">
    <w:name w:val="Красная строка Знак"/>
    <w:basedOn w:val="a5"/>
    <w:link w:val="a6"/>
    <w:rsid w:val="005B29CC"/>
    <w:rPr>
      <w:rFonts w:ascii="Times New Roman" w:eastAsia="Times New Roman" w:hAnsi="Times New Roman" w:cs="Arial"/>
      <w:iCs/>
      <w:sz w:val="20"/>
      <w:szCs w:val="20"/>
      <w:lang w:eastAsia="ru-RU"/>
    </w:rPr>
  </w:style>
  <w:style w:type="paragraph" w:styleId="a">
    <w:name w:val="List"/>
    <w:basedOn w:val="a0"/>
    <w:rsid w:val="005B29CC"/>
    <w:pPr>
      <w:numPr>
        <w:numId w:val="2"/>
      </w:numPr>
      <w:jc w:val="both"/>
    </w:pPr>
  </w:style>
  <w:style w:type="character" w:styleId="a8">
    <w:name w:val="Emphasis"/>
    <w:basedOn w:val="a1"/>
    <w:qFormat/>
    <w:rsid w:val="005B29CC"/>
    <w:rPr>
      <w:b/>
      <w:iCs/>
    </w:rPr>
  </w:style>
  <w:style w:type="paragraph" w:styleId="a9">
    <w:name w:val="Body Text Indent"/>
    <w:basedOn w:val="a0"/>
    <w:link w:val="aa"/>
    <w:uiPriority w:val="99"/>
    <w:semiHidden/>
    <w:unhideWhenUsed/>
    <w:rsid w:val="00F065CA"/>
    <w:pPr>
      <w:spacing w:after="120"/>
      <w:ind w:left="283"/>
    </w:pPr>
  </w:style>
  <w:style w:type="character" w:customStyle="1" w:styleId="aa">
    <w:name w:val="Основной текст с отступом Знак"/>
    <w:basedOn w:val="a1"/>
    <w:link w:val="a9"/>
    <w:uiPriority w:val="99"/>
    <w:semiHidden/>
    <w:rsid w:val="00F065CA"/>
    <w:rPr>
      <w:rFonts w:ascii="Times New Roman" w:eastAsia="Times New Roman" w:hAnsi="Times New Roman" w:cs="Arial"/>
      <w:i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13</Pages>
  <Words>2775</Words>
  <Characters>15822</Characters>
  <Application>Microsoft Office Word</Application>
  <DocSecurity>0</DocSecurity>
  <Lines>131</Lines>
  <Paragraphs>37</Paragraphs>
  <ScaleCrop>false</ScaleCrop>
  <Company>Microsoft</Company>
  <LinksUpToDate>false</LinksUpToDate>
  <CharactersWithSpaces>18560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Kaf1</cp:lastModifiedBy>
  <cp:revision>8</cp:revision>
  <dcterms:created xsi:type="dcterms:W3CDTF">2016-02-05T16:51:00Z</dcterms:created>
  <dcterms:modified xsi:type="dcterms:W3CDTF">2017-01-26T06:45:00Z</dcterms:modified>
</cp:coreProperties>
</file>