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3E049E" w:rsidRPr="003E049E">
        <w:rPr>
          <w:rFonts w:ascii="Times New Roman" w:eastAsia="Calibri" w:hAnsi="Times New Roman" w:cs="Times New Roman"/>
          <w:b/>
          <w:caps/>
          <w:sz w:val="28"/>
          <w:szCs w:val="28"/>
          <w:lang w:eastAsia="ru-RU"/>
        </w:rPr>
        <w:t>по инфекционным болезням</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8A7952" w:rsidP="006D5E93">
      <w:pPr>
        <w:spacing w:after="0" w:line="240" w:lineRule="auto"/>
        <w:jc w:val="center"/>
        <w:rPr>
          <w:rFonts w:ascii="Times New Roman" w:eastAsia="Calibri" w:hAnsi="Times New Roman" w:cs="Times New Roman"/>
          <w:sz w:val="28"/>
          <w:szCs w:val="28"/>
          <w:lang w:eastAsia="ru-RU"/>
        </w:rPr>
      </w:pPr>
      <w:r w:rsidRPr="008A7952">
        <w:rPr>
          <w:rFonts w:ascii="Times New Roman" w:eastAsia="Calibri" w:hAnsi="Times New Roman" w:cs="Times New Roman"/>
          <w:i/>
          <w:sz w:val="28"/>
          <w:szCs w:val="28"/>
          <w:lang w:eastAsia="ru-RU"/>
        </w:rPr>
        <w:t>31.08.35 Инфекционные болезни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8A7952" w:rsidRPr="008A7952">
        <w:rPr>
          <w:rFonts w:ascii="Times New Roman" w:eastAsia="Calibri" w:hAnsi="Times New Roman" w:cs="Times New Roman"/>
          <w:i/>
          <w:color w:val="000000"/>
          <w:sz w:val="28"/>
          <w:szCs w:val="28"/>
          <w:lang w:eastAsia="ru-RU"/>
        </w:rPr>
        <w:t>31.08.35 Инфекционные болезни</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DE61EA" w:rsidRPr="006D5E93" w:rsidRDefault="00DE61EA" w:rsidP="00DE61EA">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DE61EA" w:rsidRPr="006D5E93" w:rsidRDefault="00DE61EA" w:rsidP="00DE61EA">
      <w:pPr>
        <w:spacing w:after="0" w:line="240" w:lineRule="auto"/>
        <w:ind w:firstLine="709"/>
        <w:jc w:val="both"/>
        <w:rPr>
          <w:rFonts w:ascii="Times New Roman" w:eastAsia="Calibri" w:hAnsi="Times New Roman" w:cs="Times New Roman"/>
          <w:b/>
          <w:color w:val="000000"/>
          <w:sz w:val="28"/>
          <w:szCs w:val="28"/>
          <w:lang w:eastAsia="ru-RU"/>
        </w:rPr>
      </w:pPr>
    </w:p>
    <w:p w:rsidR="00DE61EA" w:rsidRPr="006D5E93" w:rsidRDefault="00DE61EA" w:rsidP="00DE61EA">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DE61EA" w:rsidRDefault="00DE61EA" w:rsidP="00DE61EA">
      <w:pPr>
        <w:spacing w:after="0" w:line="276" w:lineRule="auto"/>
        <w:jc w:val="both"/>
        <w:rPr>
          <w:rFonts w:ascii="Times New Roman" w:eastAsia="Calibri" w:hAnsi="Times New Roman" w:cs="Times New Roman"/>
          <w:sz w:val="28"/>
          <w:szCs w:val="28"/>
          <w:lang w:eastAsia="ru-RU"/>
        </w:rPr>
      </w:pPr>
    </w:p>
    <w:p w:rsidR="00DE61EA" w:rsidRPr="002F0627" w:rsidRDefault="00DE61EA" w:rsidP="00DE61EA">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DE61EA" w:rsidRPr="00FF7FEA" w:rsidRDefault="00DE61EA" w:rsidP="00DE61EA">
      <w:pPr>
        <w:spacing w:after="0" w:line="240" w:lineRule="auto"/>
        <w:ind w:left="-567" w:firstLine="567"/>
        <w:contextualSpacing/>
        <w:jc w:val="center"/>
        <w:rPr>
          <w:rFonts w:ascii="Times New Roman" w:eastAsia="Calibri" w:hAnsi="Times New Roman" w:cs="Times New Roman"/>
          <w:b/>
          <w:sz w:val="28"/>
          <w:szCs w:val="28"/>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lastRenderedPageBreak/>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 xml:space="preserve">Объективно: температура 37,2 С. Общее состояние средней тяжести. </w:t>
      </w:r>
      <w:r w:rsidRPr="007F2CA1">
        <w:rPr>
          <w:rFonts w:ascii="Times New Roman" w:hAnsi="Times New Roman"/>
          <w:sz w:val="28"/>
          <w:szCs w:val="28"/>
          <w:lang w:val="ru-RU" w:eastAsia="ru-RU"/>
        </w:rPr>
        <w:lastRenderedPageBreak/>
        <w:t>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линии. Тоны сердца ритмичные, </w:t>
      </w:r>
      <w:r w:rsidRPr="001A069A">
        <w:rPr>
          <w:rFonts w:ascii="Times New Roman" w:hAnsi="Times New Roman"/>
          <w:sz w:val="28"/>
          <w:szCs w:val="28"/>
          <w:lang w:val="ru-RU" w:eastAsia="ru-RU"/>
        </w:rPr>
        <w:lastRenderedPageBreak/>
        <w:t>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Хронические холециститы и холангиты. Клиника. Диагностика. </w:t>
      </w:r>
      <w:r w:rsidRPr="004C57F9">
        <w:rPr>
          <w:rFonts w:ascii="Times New Roman" w:hAnsi="Times New Roman"/>
          <w:sz w:val="28"/>
          <w:szCs w:val="28"/>
          <w:lang w:val="ru-RU" w:eastAsia="ru-RU"/>
        </w:rPr>
        <w:lastRenderedPageBreak/>
        <w:t>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lastRenderedPageBreak/>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w:t>
            </w:r>
            <w:r w:rsidRPr="00DF50FA">
              <w:rPr>
                <w:rFonts w:ascii="Times New Roman" w:eastAsia="Calibri" w:hAnsi="Times New Roman" w:cs="Times New Roman"/>
                <w:sz w:val="28"/>
                <w:szCs w:val="28"/>
                <w:lang w:eastAsia="ru-RU"/>
              </w:rPr>
              <w:lastRenderedPageBreak/>
              <w:t>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w:t>
            </w:r>
            <w:r w:rsidRPr="00DF50FA">
              <w:rPr>
                <w:rFonts w:ascii="Times New Roman" w:eastAsia="Calibri" w:hAnsi="Times New Roman" w:cs="Times New Roman"/>
                <w:sz w:val="28"/>
                <w:szCs w:val="28"/>
                <w:lang w:eastAsia="ru-RU"/>
              </w:rPr>
              <w:lastRenderedPageBreak/>
              <w:t>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E61EA" w:rsidRPr="00DF50FA" w:rsidRDefault="00DE61EA" w:rsidP="00DE61EA">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E61EA" w:rsidRPr="00DF50FA" w:rsidRDefault="00DE61EA" w:rsidP="00DE61EA">
      <w:pPr>
        <w:spacing w:after="0" w:line="240" w:lineRule="auto"/>
        <w:ind w:left="-567" w:firstLine="567"/>
        <w:contextualSpacing/>
        <w:rPr>
          <w:rFonts w:ascii="Times New Roman" w:eastAsia="Calibri" w:hAnsi="Times New Roman" w:cs="Times New Roman"/>
          <w:b/>
          <w:sz w:val="28"/>
          <w:szCs w:val="28"/>
          <w:lang w:val="x-none"/>
        </w:rPr>
      </w:pPr>
    </w:p>
    <w:p w:rsidR="00DE61EA" w:rsidRPr="00DF50FA" w:rsidRDefault="00DE61EA" w:rsidP="00DE61EA">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DE61EA" w:rsidRPr="00DF50FA" w:rsidRDefault="00DE61EA" w:rsidP="00DE61EA">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E61EA" w:rsidRPr="00DF50FA" w:rsidRDefault="00DE61EA" w:rsidP="00DE61E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E61EA" w:rsidRPr="00DF50FA" w:rsidRDefault="00DE61EA" w:rsidP="00DE61EA">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E61EA" w:rsidRPr="00DF50FA" w:rsidRDefault="00DE61EA" w:rsidP="00DE61E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E61EA" w:rsidRDefault="00DE61EA" w:rsidP="00DE61EA">
      <w:pPr>
        <w:spacing w:after="0" w:line="240" w:lineRule="auto"/>
        <w:ind w:firstLine="709"/>
        <w:rPr>
          <w:rFonts w:ascii="Times New Roman" w:eastAsia="Calibri" w:hAnsi="Times New Roman" w:cs="Times New Roman"/>
          <w:sz w:val="28"/>
          <w:szCs w:val="28"/>
          <w:lang w:eastAsia="ru-RU"/>
        </w:rPr>
      </w:pPr>
    </w:p>
    <w:p w:rsidR="00DE61EA" w:rsidRDefault="00DE61EA" w:rsidP="00DE61E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lastRenderedPageBreak/>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E61EA" w:rsidRPr="006D5E93" w:rsidRDefault="00DE61EA" w:rsidP="00DE61E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направление подготовки (специальность) </w:t>
      </w:r>
      <w:r w:rsidRPr="008A7952">
        <w:rPr>
          <w:rFonts w:ascii="Times New Roman" w:eastAsia="Calibri" w:hAnsi="Times New Roman" w:cs="Times New Roman"/>
          <w:i/>
          <w:sz w:val="28"/>
          <w:szCs w:val="28"/>
          <w:lang w:eastAsia="ru-RU"/>
        </w:rPr>
        <w:t>31.08.35 Инфекционные болезни</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E61EA" w:rsidRDefault="00DE61EA" w:rsidP="00DE61EA">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DE61EA" w:rsidRPr="00DF50FA" w:rsidRDefault="00DE61EA" w:rsidP="00DE61EA">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DE61EA" w:rsidRPr="00DF50FA" w:rsidRDefault="00DE61EA" w:rsidP="00DE61EA">
      <w:pPr>
        <w:spacing w:after="0" w:line="240" w:lineRule="auto"/>
        <w:ind w:firstLine="709"/>
        <w:rPr>
          <w:rFonts w:ascii="Times New Roman" w:eastAsia="Calibri" w:hAnsi="Times New Roman" w:cs="Times New Roman"/>
          <w:sz w:val="28"/>
          <w:szCs w:val="28"/>
          <w:lang w:eastAsia="ru-RU"/>
        </w:rPr>
      </w:pPr>
    </w:p>
    <w:p w:rsidR="00DE61EA" w:rsidRPr="00DF50FA" w:rsidRDefault="00DE61EA" w:rsidP="00DE61EA">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E61EA" w:rsidRDefault="00DE61EA" w:rsidP="00DE61EA"/>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w:t>
      </w:r>
      <w:r w:rsidRPr="007C3485">
        <w:rPr>
          <w:rFonts w:ascii="Times New Roman" w:eastAsia="Calibri" w:hAnsi="Times New Roman" w:cs="Times New Roman"/>
          <w:color w:val="000000"/>
          <w:sz w:val="28"/>
          <w:szCs w:val="28"/>
          <w:lang w:eastAsia="ru-RU"/>
        </w:rPr>
        <w:lastRenderedPageBreak/>
        <w:t xml:space="preserve">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 xml:space="preserve">полненные дистиллированной водой для </w:t>
      </w:r>
      <w:r w:rsidRPr="007C3485">
        <w:rPr>
          <w:rFonts w:ascii="Times New Roman" w:hAnsi="Times New Roman"/>
          <w:color w:val="000000"/>
          <w:sz w:val="28"/>
          <w:szCs w:val="28"/>
          <w:lang w:eastAsia="ru-RU"/>
        </w:rPr>
        <w:lastRenderedPageBreak/>
        <w:t>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E61EA" w:rsidRPr="00DF50FA" w:rsidRDefault="00DE61EA" w:rsidP="00DE61EA">
      <w:pPr>
        <w:spacing w:after="0" w:line="240" w:lineRule="auto"/>
        <w:ind w:firstLine="709"/>
        <w:jc w:val="both"/>
        <w:rPr>
          <w:rFonts w:ascii="Times New Roman" w:eastAsia="Calibri" w:hAnsi="Times New Roman" w:cs="Times New Roman"/>
          <w:b/>
          <w:color w:val="000000"/>
          <w:sz w:val="28"/>
          <w:szCs w:val="28"/>
          <w:lang w:eastAsia="ru-RU"/>
        </w:rPr>
      </w:pPr>
    </w:p>
    <w:p w:rsidR="00DE61EA" w:rsidRPr="00DF50FA" w:rsidRDefault="00DE61EA" w:rsidP="00DE61E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049E"/>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E61EA"/>
    <w:rsid w:val="00DF50FA"/>
    <w:rsid w:val="00E35B76"/>
    <w:rsid w:val="00E4086A"/>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4177-594F-4FD2-B1CA-8DBC109B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27042</Words>
  <Characters>154140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35</cp:revision>
  <cp:lastPrinted>2019-04-24T21:07:00Z</cp:lastPrinted>
  <dcterms:created xsi:type="dcterms:W3CDTF">2019-07-15T19:14:00Z</dcterms:created>
  <dcterms:modified xsi:type="dcterms:W3CDTF">2019-10-15T11:18:00Z</dcterms:modified>
</cp:coreProperties>
</file>