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523DDE">
        <w:rPr>
          <w:rFonts w:ascii="Times New Roman" w:eastAsia="Calibri" w:hAnsi="Times New Roman" w:cs="Times New Roman"/>
          <w:b/>
          <w:caps/>
          <w:sz w:val="28"/>
          <w:szCs w:val="28"/>
          <w:lang w:eastAsia="ru-RU"/>
        </w:rPr>
        <w:t xml:space="preserve"> </w:t>
      </w:r>
      <w:r w:rsidR="00523DDE" w:rsidRPr="00523DDE">
        <w:rPr>
          <w:rFonts w:ascii="Times New Roman" w:eastAsia="Calibri" w:hAnsi="Times New Roman" w:cs="Times New Roman"/>
          <w:b/>
          <w:caps/>
          <w:sz w:val="28"/>
          <w:szCs w:val="28"/>
          <w:lang w:eastAsia="ru-RU"/>
        </w:rPr>
        <w:t>по неврологии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1A03E4" w:rsidRPr="001A03E4" w:rsidRDefault="001A03E4" w:rsidP="001A03E4">
      <w:pPr>
        <w:jc w:val="center"/>
        <w:rPr>
          <w:rFonts w:ascii="Times New Roman" w:eastAsia="Calibri" w:hAnsi="Times New Roman" w:cs="Times New Roman"/>
          <w:i/>
          <w:sz w:val="28"/>
          <w:szCs w:val="28"/>
          <w:lang w:eastAsia="ru-RU"/>
        </w:rPr>
      </w:pPr>
      <w:r w:rsidRPr="001A03E4">
        <w:rPr>
          <w:rFonts w:ascii="Times New Roman" w:eastAsia="Calibri" w:hAnsi="Times New Roman" w:cs="Times New Roman"/>
          <w:i/>
          <w:sz w:val="28"/>
          <w:szCs w:val="28"/>
          <w:lang w:eastAsia="ru-RU"/>
        </w:rPr>
        <w:t>31.08.42 Неврология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1A03E4" w:rsidRDefault="006D5E93" w:rsidP="001A03E4">
      <w:pPr>
        <w:jc w:val="center"/>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1A03E4">
        <w:rPr>
          <w:rFonts w:ascii="Times New Roman" w:eastAsia="Calibri" w:hAnsi="Times New Roman" w:cs="Times New Roman"/>
          <w:i/>
          <w:color w:val="000000"/>
          <w:sz w:val="28"/>
          <w:szCs w:val="28"/>
          <w:lang w:eastAsia="ru-RU"/>
        </w:rPr>
        <w:t>31.08.42 Неврология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Pr="006D5E93" w:rsidRDefault="008A7952"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w:t>
      </w:r>
      <w:r w:rsidRPr="00AD3F56">
        <w:rPr>
          <w:rFonts w:ascii="Times New Roman" w:eastAsia="Calibri" w:hAnsi="Times New Roman" w:cs="Times New Roman"/>
          <w:sz w:val="28"/>
          <w:szCs w:val="28"/>
          <w:lang w:eastAsia="ru-RU"/>
        </w:rPr>
        <w:lastRenderedPageBreak/>
        <w:t>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w:t>
      </w:r>
      <w:r w:rsidRPr="00401D5D">
        <w:rPr>
          <w:rFonts w:ascii="Times New Roman" w:eastAsia="Calibri" w:hAnsi="Times New Roman" w:cs="Times New Roman"/>
          <w:sz w:val="28"/>
          <w:szCs w:val="28"/>
          <w:lang w:eastAsia="ru-RU"/>
        </w:rPr>
        <w:lastRenderedPageBreak/>
        <w:t xml:space="preserve">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w:t>
      </w:r>
      <w:r w:rsidRPr="00EE0CB5">
        <w:rPr>
          <w:rFonts w:ascii="Times New Roman" w:eastAsia="Times New Roman" w:hAnsi="Times New Roman" w:cs="Times New Roman"/>
          <w:sz w:val="28"/>
          <w:szCs w:val="28"/>
          <w:lang w:eastAsia="ru-RU"/>
        </w:rPr>
        <w:lastRenderedPageBreak/>
        <w:t xml:space="preserve">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w:t>
      </w:r>
      <w:r w:rsidRPr="00EE0CB5">
        <w:rPr>
          <w:rFonts w:ascii="Times New Roman" w:eastAsia="Times New Roman" w:hAnsi="Times New Roman" w:cs="Times New Roman"/>
          <w:sz w:val="28"/>
          <w:szCs w:val="28"/>
          <w:lang w:eastAsia="ru-RU"/>
        </w:rPr>
        <w:lastRenderedPageBreak/>
        <w:t>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СКЛОННОСТЬЮ К ФАНТАЗИРОВАНИЮ, ИСКУСНОЙ ДЕМОНСТРАЦИЕЙ </w:t>
      </w:r>
      <w:r w:rsidRPr="006D5E7B">
        <w:rPr>
          <w:rFonts w:ascii="Times New Roman" w:eastAsia="Calibri" w:hAnsi="Times New Roman" w:cs="Times New Roman"/>
          <w:color w:val="000000"/>
          <w:sz w:val="28"/>
          <w:szCs w:val="28"/>
          <w:lang w:eastAsia="ru-RU"/>
        </w:rPr>
        <w:lastRenderedPageBreak/>
        <w:t>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w:t>
      </w:r>
      <w:r w:rsidRPr="00A6627A">
        <w:rPr>
          <w:rFonts w:ascii="Times New Roman" w:eastAsia="Calibri" w:hAnsi="Times New Roman" w:cs="Times New Roman"/>
          <w:sz w:val="28"/>
          <w:szCs w:val="28"/>
          <w:lang w:eastAsia="ru-RU"/>
        </w:rPr>
        <w:lastRenderedPageBreak/>
        <w:t>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lastRenderedPageBreak/>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lastRenderedPageBreak/>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w:t>
      </w:r>
      <w:r w:rsidRPr="006D5E93">
        <w:rPr>
          <w:rFonts w:ascii="Times New Roman" w:eastAsia="Calibri" w:hAnsi="Times New Roman" w:cs="Times New Roman"/>
          <w:sz w:val="28"/>
          <w:szCs w:val="28"/>
          <w:lang w:eastAsia="ru-RU"/>
        </w:rPr>
        <w:lastRenderedPageBreak/>
        <w:t>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 xml:space="preserve">ясный. Дыхание ослабленное, везикулярное, с обеих сторон определяются разнокалиберные влажные хрипы. </w:t>
      </w:r>
      <w:r w:rsidRPr="002A589E">
        <w:rPr>
          <w:rFonts w:ascii="Times New Roman" w:eastAsia="Times New Roman" w:hAnsi="Times New Roman" w:cs="Times New Roman"/>
          <w:sz w:val="28"/>
          <w:szCs w:val="28"/>
        </w:rPr>
        <w:lastRenderedPageBreak/>
        <w:t>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 xml:space="preserve">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BA190E" w:rsidRPr="006D5E93" w:rsidRDefault="00BA190E" w:rsidP="00BA190E">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BA190E" w:rsidRPr="006D5E93" w:rsidRDefault="00BA190E" w:rsidP="00BA190E">
      <w:pPr>
        <w:spacing w:after="0" w:line="240" w:lineRule="auto"/>
        <w:ind w:firstLine="709"/>
        <w:jc w:val="both"/>
        <w:rPr>
          <w:rFonts w:ascii="Times New Roman" w:eastAsia="Calibri" w:hAnsi="Times New Roman" w:cs="Times New Roman"/>
          <w:b/>
          <w:color w:val="000000"/>
          <w:sz w:val="28"/>
          <w:szCs w:val="28"/>
          <w:lang w:eastAsia="ru-RU"/>
        </w:rPr>
      </w:pPr>
    </w:p>
    <w:p w:rsidR="00BA190E" w:rsidRPr="006D5E93" w:rsidRDefault="00BA190E" w:rsidP="00BA190E">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BA190E" w:rsidRDefault="00BA190E" w:rsidP="00BA190E">
      <w:pPr>
        <w:spacing w:after="0" w:line="276" w:lineRule="auto"/>
        <w:jc w:val="both"/>
        <w:rPr>
          <w:rFonts w:ascii="Times New Roman" w:eastAsia="Calibri" w:hAnsi="Times New Roman" w:cs="Times New Roman"/>
          <w:sz w:val="28"/>
          <w:szCs w:val="28"/>
          <w:lang w:eastAsia="ru-RU"/>
        </w:rPr>
      </w:pPr>
    </w:p>
    <w:p w:rsidR="00BA190E" w:rsidRPr="002F0627" w:rsidRDefault="00BA190E" w:rsidP="00BA190E">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BA190E" w:rsidRDefault="00BA190E" w:rsidP="00BA190E">
      <w:pPr>
        <w:spacing w:after="0" w:line="240" w:lineRule="auto"/>
        <w:ind w:left="-567" w:firstLine="567"/>
        <w:contextualSpacing/>
        <w:jc w:val="center"/>
        <w:rPr>
          <w:rFonts w:ascii="Times New Roman" w:eastAsia="Calibri" w:hAnsi="Times New Roman" w:cs="Times New Roman"/>
          <w:b/>
          <w:sz w:val="28"/>
          <w:szCs w:val="28"/>
          <w:lang w:val="x-none"/>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lastRenderedPageBreak/>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lastRenderedPageBreak/>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возникающие при выполнении домашней работы, была кратковременная потеря сознания. Ухудшение </w:t>
      </w:r>
      <w:r w:rsidRPr="001A069A">
        <w:rPr>
          <w:rFonts w:ascii="Times New Roman" w:hAnsi="Times New Roman"/>
          <w:sz w:val="28"/>
          <w:szCs w:val="28"/>
          <w:lang w:val="ru-RU" w:eastAsia="ru-RU"/>
        </w:rPr>
        <w:lastRenderedPageBreak/>
        <w:t>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 xml:space="preserve">развита избыточно. Дыхание везикулярное, ЧДД 16 в мин. Тоны сердца </w:t>
      </w:r>
      <w:r w:rsidRPr="001A069A">
        <w:rPr>
          <w:rFonts w:ascii="Times New Roman" w:hAnsi="Times New Roman"/>
          <w:sz w:val="28"/>
          <w:szCs w:val="28"/>
          <w:lang w:val="ru-RU" w:eastAsia="ru-RU"/>
        </w:rPr>
        <w:lastRenderedPageBreak/>
        <w:t>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lastRenderedPageBreak/>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w:t>
      </w:r>
      <w:r w:rsidRPr="00F04DF4">
        <w:rPr>
          <w:rFonts w:ascii="Times New Roman" w:eastAsia="Times New Roman" w:hAnsi="Times New Roman"/>
          <w:sz w:val="28"/>
          <w:szCs w:val="28"/>
          <w:lang w:eastAsia="ru-RU"/>
        </w:rPr>
        <w:lastRenderedPageBreak/>
        <w:t>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w:t>
      </w:r>
      <w:r w:rsidRPr="00321EF4">
        <w:rPr>
          <w:rFonts w:ascii="Times New Roman" w:eastAsia="Times New Roman" w:hAnsi="Times New Roman"/>
          <w:sz w:val="28"/>
          <w:szCs w:val="28"/>
          <w:lang w:eastAsia="ru-RU"/>
        </w:rPr>
        <w:lastRenderedPageBreak/>
        <w:t xml:space="preserve">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хрипы. Аускультация сердца затруднена. Пульс 120 уд./мин., аритмичен. На ЭКГ признаки нарастающей </w:t>
      </w:r>
      <w:r w:rsidRPr="002F791A">
        <w:rPr>
          <w:rFonts w:ascii="Times New Roman" w:eastAsia="Calibri" w:hAnsi="Times New Roman" w:cs="Times New Roman"/>
          <w:bCs/>
          <w:color w:val="000000"/>
          <w:sz w:val="28"/>
          <w:szCs w:val="28"/>
          <w:lang w:eastAsia="ru-RU"/>
        </w:rPr>
        <w:lastRenderedPageBreak/>
        <w:t>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втянут, напряжение мышц передней брюшной стенки, разлитая болезненность по всему животу. Зона </w:t>
      </w:r>
      <w:r w:rsidRPr="009163CC">
        <w:rPr>
          <w:rFonts w:ascii="Times New Roman" w:eastAsia="Calibri" w:hAnsi="Times New Roman" w:cs="Times New Roman"/>
          <w:bCs/>
          <w:color w:val="000000"/>
          <w:sz w:val="28"/>
          <w:szCs w:val="28"/>
          <w:lang w:eastAsia="ru-RU"/>
        </w:rPr>
        <w:lastRenderedPageBreak/>
        <w:t>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боли в </w:t>
      </w:r>
      <w:r w:rsidRPr="00321C97">
        <w:rPr>
          <w:rFonts w:ascii="Times New Roman" w:eastAsia="Calibri" w:hAnsi="Times New Roman" w:cs="Times New Roman"/>
          <w:bCs/>
          <w:color w:val="000000"/>
          <w:sz w:val="28"/>
          <w:szCs w:val="28"/>
          <w:lang w:eastAsia="ru-RU"/>
        </w:rPr>
        <w:lastRenderedPageBreak/>
        <w:t>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w:t>
      </w:r>
      <w:r w:rsidRPr="00321C97">
        <w:rPr>
          <w:rFonts w:ascii="Times New Roman" w:eastAsia="Calibri" w:hAnsi="Times New Roman" w:cs="Times New Roman"/>
          <w:bCs/>
          <w:color w:val="000000"/>
          <w:sz w:val="28"/>
          <w:szCs w:val="28"/>
          <w:lang w:eastAsia="ru-RU"/>
        </w:rPr>
        <w:lastRenderedPageBreak/>
        <w:t>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w:t>
      </w:r>
      <w:r w:rsidRPr="00321C97">
        <w:rPr>
          <w:rFonts w:ascii="Times New Roman" w:eastAsia="Calibri" w:hAnsi="Times New Roman" w:cs="Times New Roman"/>
          <w:bCs/>
          <w:color w:val="000000"/>
          <w:sz w:val="28"/>
          <w:szCs w:val="28"/>
          <w:lang w:eastAsia="ru-RU"/>
        </w:rPr>
        <w:lastRenderedPageBreak/>
        <w:t>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xml:space="preserve"> Спасатель после констатации клинической смерти у пациента немедленно выполнил следующее: 1) обеспечил проходимость дыхательных </w:t>
      </w:r>
      <w:r w:rsidRPr="006D5E93">
        <w:rPr>
          <w:rFonts w:ascii="Times New Roman" w:eastAsia="Times New Roman" w:hAnsi="Times New Roman" w:cs="Times New Roman"/>
          <w:color w:val="000000"/>
          <w:sz w:val="28"/>
          <w:szCs w:val="28"/>
          <w:lang w:eastAsia="ru-RU"/>
        </w:rPr>
        <w:lastRenderedPageBreak/>
        <w:t>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w:t>
      </w:r>
      <w:r w:rsidR="00ED6D30" w:rsidRPr="00ED6D30">
        <w:rPr>
          <w:rFonts w:ascii="Times New Roman" w:eastAsia="Times New Roman" w:hAnsi="Times New Roman" w:cs="Times New Roman"/>
          <w:color w:val="000000"/>
          <w:sz w:val="28"/>
          <w:szCs w:val="28"/>
          <w:lang w:eastAsia="ru-RU"/>
        </w:rPr>
        <w:lastRenderedPageBreak/>
        <w:t>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lastRenderedPageBreak/>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w:t>
            </w:r>
            <w:r w:rsidRPr="00DF50FA">
              <w:rPr>
                <w:rFonts w:ascii="Times New Roman" w:eastAsia="Calibri" w:hAnsi="Times New Roman" w:cs="Times New Roman"/>
                <w:sz w:val="28"/>
                <w:szCs w:val="28"/>
                <w:lang w:eastAsia="ru-RU"/>
              </w:rPr>
              <w:lastRenderedPageBreak/>
              <w:t>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BA190E" w:rsidRPr="00DF50FA" w:rsidRDefault="00BA190E" w:rsidP="00BA190E">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BA190E" w:rsidRPr="00DF50FA" w:rsidRDefault="00BA190E" w:rsidP="00BA190E">
      <w:pPr>
        <w:spacing w:after="0" w:line="240" w:lineRule="auto"/>
        <w:ind w:left="-567" w:firstLine="567"/>
        <w:contextualSpacing/>
        <w:rPr>
          <w:rFonts w:ascii="Times New Roman" w:eastAsia="Calibri" w:hAnsi="Times New Roman" w:cs="Times New Roman"/>
          <w:b/>
          <w:sz w:val="28"/>
          <w:szCs w:val="28"/>
          <w:lang w:val="x-none"/>
        </w:rPr>
      </w:pPr>
    </w:p>
    <w:p w:rsidR="00BA190E" w:rsidRPr="00DF50FA" w:rsidRDefault="00BA190E" w:rsidP="00BA190E">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BA190E" w:rsidRPr="00DF50FA" w:rsidRDefault="00BA190E" w:rsidP="00BA190E">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w:t>
      </w:r>
      <w:r w:rsidRPr="00DF50FA">
        <w:rPr>
          <w:rFonts w:ascii="Times New Roman" w:eastAsia="Calibri" w:hAnsi="Times New Roman" w:cs="Times New Roman"/>
          <w:sz w:val="28"/>
          <w:szCs w:val="28"/>
          <w:lang w:eastAsia="ru-RU"/>
        </w:rPr>
        <w:lastRenderedPageBreak/>
        <w:t xml:space="preserve">носят аргументированный и доказательный характер. Соблюдаются нормы литературной речи. </w:t>
      </w:r>
    </w:p>
    <w:p w:rsidR="00BA190E" w:rsidRPr="00DF50FA" w:rsidRDefault="00BA190E" w:rsidP="00BA190E">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BA190E" w:rsidRPr="00DF50FA" w:rsidRDefault="00BA190E" w:rsidP="00BA190E">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BA190E" w:rsidRPr="00DF50FA" w:rsidRDefault="00BA190E" w:rsidP="00BA190E">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BA190E" w:rsidRDefault="00BA190E" w:rsidP="00BA190E">
      <w:pPr>
        <w:spacing w:after="0" w:line="240" w:lineRule="auto"/>
        <w:ind w:firstLine="709"/>
        <w:rPr>
          <w:rFonts w:ascii="Times New Roman" w:eastAsia="Calibri" w:hAnsi="Times New Roman" w:cs="Times New Roman"/>
          <w:sz w:val="28"/>
          <w:szCs w:val="28"/>
          <w:lang w:eastAsia="ru-RU"/>
        </w:rPr>
      </w:pPr>
    </w:p>
    <w:p w:rsidR="00BA190E" w:rsidRDefault="00BA190E" w:rsidP="00BA190E">
      <w:pPr>
        <w:spacing w:after="0" w:line="240" w:lineRule="auto"/>
        <w:ind w:firstLine="709"/>
        <w:rPr>
          <w:rFonts w:ascii="Times New Roman" w:eastAsia="Calibri" w:hAnsi="Times New Roman" w:cs="Times New Roman"/>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BA190E" w:rsidRPr="001A03E4" w:rsidRDefault="00DF50FA" w:rsidP="00BA190E">
      <w:pPr>
        <w:jc w:val="center"/>
        <w:rPr>
          <w:rFonts w:ascii="Times New Roman" w:eastAsia="Calibri" w:hAnsi="Times New Roman" w:cs="Times New Roman"/>
          <w:i/>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BA190E" w:rsidRPr="001A03E4">
        <w:rPr>
          <w:rFonts w:ascii="Times New Roman" w:eastAsia="Calibri" w:hAnsi="Times New Roman" w:cs="Times New Roman"/>
          <w:i/>
          <w:sz w:val="28"/>
          <w:szCs w:val="28"/>
          <w:lang w:eastAsia="ru-RU"/>
        </w:rPr>
        <w:t>31.08.42 Неврология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BA190E" w:rsidRDefault="00BA190E" w:rsidP="00BA190E">
      <w:pPr>
        <w:spacing w:after="0" w:line="240" w:lineRule="auto"/>
        <w:ind w:firstLine="709"/>
        <w:rPr>
          <w:rFonts w:ascii="Times New Roman" w:eastAsia="Calibri" w:hAnsi="Times New Roman" w:cs="Times New Roman"/>
          <w:sz w:val="28"/>
          <w:szCs w:val="28"/>
          <w:lang w:eastAsia="ru-RU"/>
        </w:rPr>
      </w:pPr>
    </w:p>
    <w:p w:rsidR="00BA190E" w:rsidRDefault="00BA190E" w:rsidP="00BA190E">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BA190E" w:rsidRPr="00DF50FA" w:rsidRDefault="00BA190E" w:rsidP="00BA190E">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BA190E" w:rsidRPr="00DF50FA" w:rsidRDefault="00BA190E" w:rsidP="00BA190E">
      <w:pPr>
        <w:spacing w:after="0" w:line="240" w:lineRule="auto"/>
        <w:ind w:firstLine="709"/>
        <w:rPr>
          <w:rFonts w:ascii="Times New Roman" w:eastAsia="Calibri" w:hAnsi="Times New Roman" w:cs="Times New Roman"/>
          <w:sz w:val="28"/>
          <w:szCs w:val="28"/>
          <w:lang w:eastAsia="ru-RU"/>
        </w:rPr>
      </w:pPr>
    </w:p>
    <w:p w:rsidR="00BA190E" w:rsidRPr="00DF50FA" w:rsidRDefault="00BA190E" w:rsidP="00BA190E">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BA190E" w:rsidRDefault="00BA190E"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lastRenderedPageBreak/>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A190E" w:rsidRPr="00DF50FA" w:rsidRDefault="00BA190E" w:rsidP="00BA190E">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BA190E" w:rsidRPr="00DF50FA" w:rsidRDefault="00BA190E" w:rsidP="00BA190E">
      <w:pPr>
        <w:spacing w:after="0" w:line="240" w:lineRule="auto"/>
        <w:ind w:firstLine="709"/>
        <w:jc w:val="both"/>
        <w:rPr>
          <w:rFonts w:ascii="Times New Roman" w:eastAsia="Calibri" w:hAnsi="Times New Roman" w:cs="Times New Roman"/>
          <w:b/>
          <w:color w:val="000000"/>
          <w:sz w:val="28"/>
          <w:szCs w:val="28"/>
          <w:lang w:eastAsia="ru-RU"/>
        </w:rPr>
      </w:pPr>
    </w:p>
    <w:p w:rsidR="00BA190E" w:rsidRPr="00DF50FA" w:rsidRDefault="00BA190E" w:rsidP="00BA190E">
      <w:pPr>
        <w:spacing w:after="0" w:line="240" w:lineRule="auto"/>
        <w:ind w:firstLine="709"/>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3E4"/>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57F9"/>
    <w:rsid w:val="004F126F"/>
    <w:rsid w:val="00523DDE"/>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190E"/>
    <w:rsid w:val="00BA3F91"/>
    <w:rsid w:val="00BD25CD"/>
    <w:rsid w:val="00BE0264"/>
    <w:rsid w:val="00C33A01"/>
    <w:rsid w:val="00C60C63"/>
    <w:rsid w:val="00C83550"/>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D5F8"/>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C3C8-A8B0-4BB8-B7C3-C4CAC37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27036</Words>
  <Characters>154106</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2019-04-24T21:07:00Z</cp:lastPrinted>
  <dcterms:created xsi:type="dcterms:W3CDTF">2019-07-15T19:14:00Z</dcterms:created>
  <dcterms:modified xsi:type="dcterms:W3CDTF">2019-10-15T15:19:00Z</dcterms:modified>
</cp:coreProperties>
</file>