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D126EA" w:rsidRDefault="00943D54" w:rsidP="00EC45CD">
      <w:pPr>
        <w:jc w:val="center"/>
        <w:rPr>
          <w:b/>
          <w:sz w:val="28"/>
        </w:rPr>
      </w:pPr>
      <w:r>
        <w:rPr>
          <w:b/>
          <w:sz w:val="28"/>
        </w:rPr>
        <w:t>ВВЕДЕНИЕ В ОБЩЕСТВЕННОЕ</w:t>
      </w:r>
      <w:r w:rsidR="00D91C2F">
        <w:rPr>
          <w:b/>
          <w:sz w:val="28"/>
        </w:rPr>
        <w:t xml:space="preserve"> ЗДРАВООХРАНЕНИ</w:t>
      </w:r>
      <w:r>
        <w:rPr>
          <w:b/>
          <w:sz w:val="28"/>
        </w:rPr>
        <w:t>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Pr="009373F6" w:rsidRDefault="00BB63D7" w:rsidP="00D91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направлению подготовки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i/>
          <w:sz w:val="28"/>
          <w:szCs w:val="28"/>
        </w:rPr>
      </w:pPr>
      <w:r w:rsidRPr="009373F6">
        <w:rPr>
          <w:i/>
          <w:caps/>
          <w:color w:val="000000"/>
          <w:sz w:val="28"/>
          <w:szCs w:val="28"/>
        </w:rPr>
        <w:t xml:space="preserve">32.04.01 </w:t>
      </w:r>
      <w:r w:rsidRPr="009373F6">
        <w:rPr>
          <w:i/>
          <w:color w:val="000000"/>
          <w:sz w:val="28"/>
          <w:szCs w:val="28"/>
        </w:rPr>
        <w:t>Общественное здравоохранение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9A1AB9" w:rsidP="00D91C2F">
      <w:pPr>
        <w:jc w:val="center"/>
        <w:rPr>
          <w:sz w:val="28"/>
          <w:szCs w:val="28"/>
        </w:rPr>
      </w:pPr>
      <w:bookmarkStart w:id="0" w:name="_GoBack"/>
      <w:bookmarkEnd w:id="0"/>
      <w:r w:rsidRPr="001A6D81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  <w:sz w:val="24"/>
          <w:szCs w:val="24"/>
        </w:rPr>
        <w:t xml:space="preserve"> - </w:t>
      </w:r>
      <w:r w:rsidRPr="00343AED">
        <w:rPr>
          <w:color w:val="000000"/>
          <w:sz w:val="24"/>
          <w:szCs w:val="24"/>
        </w:rPr>
        <w:t>программы магистратуры Общественное здравоохранение (профиль «Организация и управление деятельностью по охране здоровья»</w:t>
      </w:r>
      <w:r>
        <w:rPr>
          <w:color w:val="000000"/>
          <w:sz w:val="24"/>
          <w:szCs w:val="24"/>
        </w:rPr>
        <w:t>)</w:t>
      </w:r>
      <w:r w:rsidRPr="001A6D8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одобренной</w:t>
      </w:r>
      <w:r w:rsidRPr="001A6D81">
        <w:rPr>
          <w:color w:val="000000"/>
          <w:sz w:val="24"/>
          <w:szCs w:val="24"/>
        </w:rPr>
        <w:t xml:space="preserve"> ученым советом ФГБОУ ВО ОрГМУ Минздрава России</w:t>
      </w:r>
      <w:r>
        <w:rPr>
          <w:color w:val="000000"/>
          <w:sz w:val="24"/>
          <w:szCs w:val="24"/>
        </w:rPr>
        <w:t xml:space="preserve"> (</w:t>
      </w:r>
      <w:r w:rsidRPr="001A6D81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 xml:space="preserve">5 от 27 декабря </w:t>
      </w:r>
      <w:r w:rsidRPr="001A6D81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19 года) и утвержденной ректором </w:t>
      </w:r>
      <w:r w:rsidRPr="001A6D81">
        <w:rPr>
          <w:color w:val="000000"/>
          <w:sz w:val="24"/>
          <w:szCs w:val="24"/>
        </w:rPr>
        <w:t>ФГБОУ ВО ОрГМУ Минздрава России</w:t>
      </w:r>
      <w:r>
        <w:rPr>
          <w:color w:val="000000"/>
          <w:sz w:val="24"/>
          <w:szCs w:val="24"/>
        </w:rPr>
        <w:t xml:space="preserve"> 30 декабря 2019 года.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943D54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943D54" w:rsidRDefault="00D06F77" w:rsidP="00FD5B6B">
      <w:pPr>
        <w:ind w:firstLine="709"/>
        <w:jc w:val="both"/>
        <w:rPr>
          <w:sz w:val="28"/>
        </w:rPr>
      </w:pPr>
      <w:r w:rsidRPr="000416A6">
        <w:rPr>
          <w:sz w:val="28"/>
        </w:rPr>
        <w:t xml:space="preserve">В результате самостоятельной работы по </w:t>
      </w:r>
      <w:r w:rsidR="00943D54">
        <w:rPr>
          <w:sz w:val="28"/>
        </w:rPr>
        <w:t xml:space="preserve">модулю </w:t>
      </w:r>
      <w:r w:rsidRPr="000416A6">
        <w:rPr>
          <w:sz w:val="28"/>
        </w:rPr>
        <w:t>«</w:t>
      </w:r>
      <w:r w:rsidR="00943D54">
        <w:rPr>
          <w:color w:val="000000"/>
          <w:sz w:val="28"/>
          <w:szCs w:val="28"/>
        </w:rPr>
        <w:t>Теоретические основы общественного здоровья</w:t>
      </w:r>
      <w:r w:rsidRPr="000416A6">
        <w:rPr>
          <w:sz w:val="28"/>
        </w:rPr>
        <w:t>» обучающийся должен</w:t>
      </w:r>
      <w:r w:rsidR="002467A4">
        <w:rPr>
          <w:sz w:val="28"/>
        </w:rPr>
        <w:t xml:space="preserve"> </w:t>
      </w:r>
      <w:r w:rsidR="00F42944">
        <w:rPr>
          <w:sz w:val="28"/>
        </w:rPr>
        <w:t>у</w:t>
      </w:r>
      <w:r w:rsidR="00F42944" w:rsidRPr="00F42944">
        <w:rPr>
          <w:sz w:val="28"/>
        </w:rPr>
        <w:t>меть использовать нормативную правовую документацию, регламентирующую профессиональную деятельность</w:t>
      </w:r>
      <w:r w:rsidR="00F42944">
        <w:rPr>
          <w:sz w:val="28"/>
        </w:rPr>
        <w:t>.</w:t>
      </w:r>
    </w:p>
    <w:p w:rsidR="00943D54" w:rsidRDefault="00943D54" w:rsidP="00943D54">
      <w:pPr>
        <w:ind w:firstLine="709"/>
        <w:jc w:val="both"/>
        <w:rPr>
          <w:sz w:val="28"/>
        </w:rPr>
      </w:pPr>
      <w:r w:rsidRPr="000416A6">
        <w:rPr>
          <w:sz w:val="28"/>
        </w:rPr>
        <w:t xml:space="preserve">В результате самостоятельной работы по </w:t>
      </w:r>
      <w:r>
        <w:rPr>
          <w:sz w:val="28"/>
        </w:rPr>
        <w:t xml:space="preserve">модулю </w:t>
      </w:r>
      <w:r w:rsidRPr="000416A6">
        <w:rPr>
          <w:sz w:val="28"/>
        </w:rPr>
        <w:t>«</w:t>
      </w:r>
      <w:r>
        <w:rPr>
          <w:color w:val="000000"/>
          <w:sz w:val="28"/>
          <w:szCs w:val="28"/>
        </w:rPr>
        <w:t>Общественное здоровье и факторы его определяющие</w:t>
      </w:r>
      <w:r w:rsidRPr="000416A6">
        <w:rPr>
          <w:sz w:val="28"/>
        </w:rPr>
        <w:t>» обучающийся должен</w:t>
      </w:r>
      <w:r w:rsidR="002467A4">
        <w:rPr>
          <w:sz w:val="28"/>
        </w:rPr>
        <w:t xml:space="preserve"> </w:t>
      </w:r>
      <w:r w:rsidR="00F42944">
        <w:rPr>
          <w:sz w:val="28"/>
        </w:rPr>
        <w:t>ов</w:t>
      </w:r>
      <w:r w:rsidR="00F42944" w:rsidRPr="00F42944">
        <w:rPr>
          <w:sz w:val="28"/>
        </w:rPr>
        <w:t>ладеть навыком интерпретации данных о здоровье населения и деятельности здравоохранения.</w:t>
      </w:r>
    </w:p>
    <w:p w:rsidR="00943D54" w:rsidRDefault="00943D54" w:rsidP="00943D54">
      <w:pPr>
        <w:ind w:firstLine="709"/>
        <w:jc w:val="both"/>
        <w:rPr>
          <w:sz w:val="28"/>
        </w:rPr>
      </w:pPr>
      <w:r w:rsidRPr="000416A6">
        <w:rPr>
          <w:sz w:val="28"/>
        </w:rPr>
        <w:t xml:space="preserve">В результате самостоятельной работы по </w:t>
      </w:r>
      <w:r>
        <w:rPr>
          <w:sz w:val="28"/>
        </w:rPr>
        <w:t xml:space="preserve">модулю </w:t>
      </w:r>
      <w:r w:rsidRPr="000416A6">
        <w:rPr>
          <w:sz w:val="28"/>
        </w:rPr>
        <w:t>«</w:t>
      </w:r>
      <w:r>
        <w:rPr>
          <w:color w:val="000000"/>
          <w:sz w:val="28"/>
          <w:szCs w:val="28"/>
        </w:rPr>
        <w:t>Система охраны здоровья населения. Общественное здравоохранение»</w:t>
      </w:r>
      <w:r w:rsidRPr="000416A6">
        <w:rPr>
          <w:sz w:val="28"/>
        </w:rPr>
        <w:t xml:space="preserve"> обучающийся должен</w:t>
      </w:r>
      <w:r w:rsidR="002467A4">
        <w:rPr>
          <w:sz w:val="28"/>
        </w:rPr>
        <w:t xml:space="preserve"> </w:t>
      </w:r>
      <w:r w:rsidR="00F42944">
        <w:rPr>
          <w:sz w:val="28"/>
        </w:rPr>
        <w:t>ов</w:t>
      </w:r>
      <w:r w:rsidR="00F42944" w:rsidRPr="00F42944">
        <w:rPr>
          <w:sz w:val="28"/>
        </w:rPr>
        <w:t>ладеть методикой интерпретации показателей деятельности медицинской организации, навыком подготовки аналитической записки к годовому отчету медицинской организации</w:t>
      </w:r>
      <w:r w:rsidR="00F42944">
        <w:rPr>
          <w:sz w:val="28"/>
        </w:rPr>
        <w:t>.</w:t>
      </w:r>
    </w:p>
    <w:p w:rsidR="00943D54" w:rsidRDefault="00943D54" w:rsidP="00FD5B6B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4C04C0">
        <w:rPr>
          <w:sz w:val="28"/>
        </w:rPr>
        <w:t xml:space="preserve">, раздел </w:t>
      </w:r>
      <w:r w:rsidR="00B916C2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p w:rsidR="004A04D8" w:rsidRDefault="004A04D8" w:rsidP="00F55788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2566"/>
        <w:gridCol w:w="2555"/>
        <w:gridCol w:w="1961"/>
        <w:gridCol w:w="1962"/>
      </w:tblGrid>
      <w:tr w:rsidR="00605F7C" w:rsidRPr="002467A4" w:rsidTr="00773B3B">
        <w:tc>
          <w:tcPr>
            <w:tcW w:w="534" w:type="dxa"/>
            <w:shd w:val="clear" w:color="auto" w:fill="auto"/>
          </w:tcPr>
          <w:p w:rsidR="006F14A4" w:rsidRPr="002467A4" w:rsidRDefault="006F14A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№</w:t>
            </w:r>
          </w:p>
        </w:tc>
        <w:tc>
          <w:tcPr>
            <w:tcW w:w="2606" w:type="dxa"/>
            <w:shd w:val="clear" w:color="auto" w:fill="auto"/>
          </w:tcPr>
          <w:p w:rsidR="006F14A4" w:rsidRPr="002467A4" w:rsidRDefault="006F14A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Тема самостоятельной</w:t>
            </w:r>
          </w:p>
          <w:p w:rsidR="006F14A4" w:rsidRPr="002467A4" w:rsidRDefault="006F14A4" w:rsidP="00961763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работы</w:t>
            </w:r>
          </w:p>
        </w:tc>
        <w:tc>
          <w:tcPr>
            <w:tcW w:w="2607" w:type="dxa"/>
            <w:shd w:val="clear" w:color="auto" w:fill="auto"/>
          </w:tcPr>
          <w:p w:rsidR="00AD092D" w:rsidRPr="002467A4" w:rsidRDefault="006F14A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Форма</w:t>
            </w:r>
          </w:p>
          <w:p w:rsidR="006F14A4" w:rsidRPr="002467A4" w:rsidRDefault="006F14A4" w:rsidP="00AD092D">
            <w:pPr>
              <w:jc w:val="center"/>
              <w:rPr>
                <w:sz w:val="24"/>
                <w:szCs w:val="22"/>
                <w:vertAlign w:val="superscript"/>
              </w:rPr>
            </w:pPr>
            <w:r w:rsidRPr="002467A4">
              <w:rPr>
                <w:sz w:val="24"/>
                <w:szCs w:val="22"/>
              </w:rPr>
              <w:t>самостоятельной работы</w:t>
            </w:r>
          </w:p>
        </w:tc>
        <w:tc>
          <w:tcPr>
            <w:tcW w:w="1815" w:type="dxa"/>
            <w:shd w:val="clear" w:color="auto" w:fill="auto"/>
          </w:tcPr>
          <w:p w:rsidR="006F14A4" w:rsidRPr="002467A4" w:rsidRDefault="006F14A4" w:rsidP="005670B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Форма контроля самостоятельной работы</w:t>
            </w:r>
          </w:p>
        </w:tc>
        <w:tc>
          <w:tcPr>
            <w:tcW w:w="2009" w:type="dxa"/>
            <w:shd w:val="clear" w:color="auto" w:fill="auto"/>
          </w:tcPr>
          <w:p w:rsidR="006F14A4" w:rsidRPr="002467A4" w:rsidRDefault="006F14A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Форма</w:t>
            </w:r>
          </w:p>
          <w:p w:rsidR="006F14A4" w:rsidRPr="002467A4" w:rsidRDefault="006F14A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контактной</w:t>
            </w:r>
          </w:p>
          <w:p w:rsidR="006F14A4" w:rsidRPr="002467A4" w:rsidRDefault="006F14A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работы при</w:t>
            </w:r>
          </w:p>
          <w:p w:rsidR="006F14A4" w:rsidRPr="002467A4" w:rsidRDefault="006F14A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проведении</w:t>
            </w:r>
          </w:p>
          <w:p w:rsidR="006F14A4" w:rsidRPr="002467A4" w:rsidRDefault="006F14A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текущего</w:t>
            </w:r>
          </w:p>
          <w:p w:rsidR="006F14A4" w:rsidRPr="002467A4" w:rsidRDefault="006F14A4" w:rsidP="00AD092D">
            <w:pPr>
              <w:jc w:val="center"/>
              <w:rPr>
                <w:sz w:val="24"/>
                <w:szCs w:val="22"/>
                <w:vertAlign w:val="superscript"/>
              </w:rPr>
            </w:pPr>
            <w:r w:rsidRPr="002467A4">
              <w:rPr>
                <w:sz w:val="24"/>
                <w:szCs w:val="22"/>
              </w:rPr>
              <w:t>контроля</w:t>
            </w:r>
          </w:p>
        </w:tc>
      </w:tr>
      <w:tr w:rsidR="00605F7C" w:rsidRPr="002467A4" w:rsidTr="00773B3B">
        <w:tc>
          <w:tcPr>
            <w:tcW w:w="534" w:type="dxa"/>
            <w:shd w:val="clear" w:color="auto" w:fill="auto"/>
          </w:tcPr>
          <w:p w:rsidR="006F14A4" w:rsidRPr="002467A4" w:rsidRDefault="006F14A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6F14A4" w:rsidRPr="002467A4" w:rsidRDefault="006F14A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:rsidR="006F14A4" w:rsidRPr="002467A4" w:rsidRDefault="006F14A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:rsidR="006F14A4" w:rsidRPr="002467A4" w:rsidRDefault="006F14A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</w:tcPr>
          <w:p w:rsidR="006F14A4" w:rsidRPr="002467A4" w:rsidRDefault="006F14A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5</w:t>
            </w:r>
          </w:p>
        </w:tc>
      </w:tr>
      <w:tr w:rsidR="009978D9" w:rsidRPr="002467A4" w:rsidTr="00D06F77">
        <w:tc>
          <w:tcPr>
            <w:tcW w:w="9571" w:type="dxa"/>
            <w:gridSpan w:val="5"/>
            <w:shd w:val="clear" w:color="auto" w:fill="auto"/>
          </w:tcPr>
          <w:p w:rsidR="009978D9" w:rsidRPr="002467A4" w:rsidRDefault="009978D9" w:rsidP="00AD092D">
            <w:pPr>
              <w:jc w:val="center"/>
              <w:rPr>
                <w:i/>
                <w:sz w:val="24"/>
                <w:szCs w:val="22"/>
                <w:vertAlign w:val="superscript"/>
              </w:rPr>
            </w:pPr>
            <w:r w:rsidRPr="002467A4">
              <w:rPr>
                <w:i/>
                <w:sz w:val="24"/>
                <w:szCs w:val="22"/>
              </w:rPr>
              <w:t>Самостоятел</w:t>
            </w:r>
            <w:r w:rsidR="00693E11" w:rsidRPr="002467A4">
              <w:rPr>
                <w:i/>
                <w:sz w:val="24"/>
                <w:szCs w:val="22"/>
              </w:rPr>
              <w:t>ьная работа в рамках м</w:t>
            </w:r>
            <w:r w:rsidRPr="002467A4">
              <w:rPr>
                <w:i/>
                <w:sz w:val="24"/>
                <w:szCs w:val="22"/>
              </w:rPr>
              <w:t>одул</w:t>
            </w:r>
            <w:r w:rsidR="005670B4" w:rsidRPr="002467A4">
              <w:rPr>
                <w:i/>
                <w:sz w:val="24"/>
                <w:szCs w:val="22"/>
              </w:rPr>
              <w:t>я</w:t>
            </w:r>
          </w:p>
        </w:tc>
      </w:tr>
      <w:tr w:rsidR="00605F7C" w:rsidRPr="002467A4" w:rsidTr="00773B3B">
        <w:tc>
          <w:tcPr>
            <w:tcW w:w="534" w:type="dxa"/>
            <w:shd w:val="clear" w:color="auto" w:fill="auto"/>
          </w:tcPr>
          <w:p w:rsidR="009978D9" w:rsidRPr="002467A4" w:rsidRDefault="009978D9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9978D9" w:rsidRPr="002467A4" w:rsidRDefault="00693E11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Модуль «</w:t>
            </w:r>
            <w:r w:rsidR="00943D54" w:rsidRPr="002467A4">
              <w:rPr>
                <w:color w:val="000000"/>
                <w:sz w:val="24"/>
                <w:szCs w:val="22"/>
              </w:rPr>
              <w:t>Теоретические основы общественного здоровья</w:t>
            </w:r>
            <w:r w:rsidR="00AD092D" w:rsidRPr="002467A4">
              <w:rPr>
                <w:sz w:val="24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9978D9" w:rsidRPr="002467A4" w:rsidRDefault="00F42944" w:rsidP="00801D4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</w:t>
            </w:r>
            <w:r w:rsidR="00AD092D" w:rsidRPr="002467A4">
              <w:rPr>
                <w:sz w:val="24"/>
                <w:szCs w:val="22"/>
              </w:rPr>
              <w:t>оставление электронной презентации</w:t>
            </w:r>
          </w:p>
        </w:tc>
        <w:tc>
          <w:tcPr>
            <w:tcW w:w="1815" w:type="dxa"/>
            <w:shd w:val="clear" w:color="auto" w:fill="auto"/>
          </w:tcPr>
          <w:p w:rsidR="004A1D4D" w:rsidRPr="002467A4" w:rsidRDefault="00801D49" w:rsidP="002467A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представление презентации</w:t>
            </w:r>
          </w:p>
        </w:tc>
        <w:tc>
          <w:tcPr>
            <w:tcW w:w="2009" w:type="dxa"/>
            <w:shd w:val="clear" w:color="auto" w:fill="auto"/>
          </w:tcPr>
          <w:p w:rsidR="009978D9" w:rsidRPr="002467A4" w:rsidRDefault="00943D54" w:rsidP="00605F7C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КСР</w:t>
            </w:r>
          </w:p>
        </w:tc>
      </w:tr>
      <w:tr w:rsidR="00943D54" w:rsidRPr="002467A4" w:rsidTr="00083332">
        <w:tc>
          <w:tcPr>
            <w:tcW w:w="9571" w:type="dxa"/>
            <w:gridSpan w:val="5"/>
            <w:shd w:val="clear" w:color="auto" w:fill="auto"/>
          </w:tcPr>
          <w:p w:rsidR="00943D54" w:rsidRPr="002467A4" w:rsidRDefault="00943D54" w:rsidP="00605F7C">
            <w:pPr>
              <w:jc w:val="center"/>
              <w:rPr>
                <w:sz w:val="24"/>
                <w:szCs w:val="22"/>
              </w:rPr>
            </w:pPr>
            <w:r w:rsidRPr="002467A4">
              <w:rPr>
                <w:i/>
                <w:sz w:val="24"/>
                <w:szCs w:val="22"/>
              </w:rPr>
              <w:t>Самостоятельная работа в рамках модуля</w:t>
            </w:r>
          </w:p>
        </w:tc>
      </w:tr>
      <w:tr w:rsidR="00605F7C" w:rsidRPr="002467A4" w:rsidTr="00773B3B">
        <w:tc>
          <w:tcPr>
            <w:tcW w:w="534" w:type="dxa"/>
            <w:shd w:val="clear" w:color="auto" w:fill="auto"/>
          </w:tcPr>
          <w:p w:rsidR="009978D9" w:rsidRPr="002467A4" w:rsidRDefault="00943D5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9978D9" w:rsidRPr="002467A4" w:rsidRDefault="00D91C2F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Модуль «</w:t>
            </w:r>
            <w:r w:rsidR="00943D54" w:rsidRPr="002467A4">
              <w:rPr>
                <w:color w:val="000000"/>
                <w:sz w:val="24"/>
                <w:szCs w:val="22"/>
              </w:rPr>
              <w:t>Общественное здоровье и факторы его определяющие</w:t>
            </w:r>
            <w:r w:rsidRPr="002467A4">
              <w:rPr>
                <w:sz w:val="24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9978D9" w:rsidRPr="002467A4" w:rsidRDefault="00D91C2F" w:rsidP="00041727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контрольная работа</w:t>
            </w:r>
          </w:p>
        </w:tc>
        <w:tc>
          <w:tcPr>
            <w:tcW w:w="1815" w:type="dxa"/>
            <w:shd w:val="clear" w:color="auto" w:fill="auto"/>
          </w:tcPr>
          <w:p w:rsidR="009978D9" w:rsidRPr="002467A4" w:rsidRDefault="00D91C2F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сдача контрольной работы</w:t>
            </w:r>
          </w:p>
        </w:tc>
        <w:tc>
          <w:tcPr>
            <w:tcW w:w="2009" w:type="dxa"/>
            <w:shd w:val="clear" w:color="auto" w:fill="auto"/>
          </w:tcPr>
          <w:p w:rsidR="009978D9" w:rsidRPr="002467A4" w:rsidRDefault="005670B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КСР</w:t>
            </w:r>
          </w:p>
        </w:tc>
      </w:tr>
      <w:tr w:rsidR="00943D54" w:rsidRPr="002467A4" w:rsidTr="00DB0AAB">
        <w:tc>
          <w:tcPr>
            <w:tcW w:w="9571" w:type="dxa"/>
            <w:gridSpan w:val="5"/>
            <w:shd w:val="clear" w:color="auto" w:fill="auto"/>
          </w:tcPr>
          <w:p w:rsidR="00943D54" w:rsidRPr="002467A4" w:rsidRDefault="00943D5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i/>
                <w:sz w:val="24"/>
                <w:szCs w:val="22"/>
              </w:rPr>
              <w:t>Самостоятельная работа в рамках модуля</w:t>
            </w:r>
          </w:p>
        </w:tc>
      </w:tr>
      <w:tr w:rsidR="00943D54" w:rsidRPr="002467A4" w:rsidTr="00773B3B">
        <w:tc>
          <w:tcPr>
            <w:tcW w:w="534" w:type="dxa"/>
            <w:shd w:val="clear" w:color="auto" w:fill="auto"/>
          </w:tcPr>
          <w:p w:rsidR="00943D54" w:rsidRPr="002467A4" w:rsidRDefault="00943D5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Модуль «</w:t>
            </w:r>
            <w:r w:rsidR="002467A4" w:rsidRPr="002467A4">
              <w:rPr>
                <w:color w:val="000000"/>
                <w:sz w:val="24"/>
                <w:szCs w:val="22"/>
              </w:rPr>
              <w:t>Система охраны здоровья населения. Общественное здравоохранение</w:t>
            </w:r>
            <w:r w:rsidRPr="002467A4">
              <w:rPr>
                <w:sz w:val="24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943D54" w:rsidRPr="002467A4" w:rsidRDefault="00F42944" w:rsidP="00041727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контрольная работа</w:t>
            </w:r>
          </w:p>
        </w:tc>
        <w:tc>
          <w:tcPr>
            <w:tcW w:w="1815" w:type="dxa"/>
            <w:shd w:val="clear" w:color="auto" w:fill="auto"/>
          </w:tcPr>
          <w:p w:rsidR="00943D54" w:rsidRPr="002467A4" w:rsidRDefault="00F42944" w:rsidP="002467A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сдача контрольной работы</w:t>
            </w:r>
          </w:p>
        </w:tc>
        <w:tc>
          <w:tcPr>
            <w:tcW w:w="2009" w:type="dxa"/>
            <w:shd w:val="clear" w:color="auto" w:fill="auto"/>
          </w:tcPr>
          <w:p w:rsidR="00943D54" w:rsidRPr="002467A4" w:rsidRDefault="00943D54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КСР</w:t>
            </w:r>
          </w:p>
        </w:tc>
      </w:tr>
      <w:tr w:rsidR="009978D9" w:rsidRPr="002467A4" w:rsidTr="00D06F77">
        <w:tc>
          <w:tcPr>
            <w:tcW w:w="9571" w:type="dxa"/>
            <w:gridSpan w:val="5"/>
            <w:shd w:val="clear" w:color="auto" w:fill="auto"/>
          </w:tcPr>
          <w:p w:rsidR="00AD092D" w:rsidRPr="002467A4" w:rsidRDefault="009978D9" w:rsidP="00AD092D">
            <w:pPr>
              <w:jc w:val="center"/>
              <w:rPr>
                <w:i/>
                <w:sz w:val="24"/>
                <w:szCs w:val="22"/>
              </w:rPr>
            </w:pPr>
            <w:r w:rsidRPr="002467A4">
              <w:rPr>
                <w:i/>
                <w:sz w:val="24"/>
                <w:szCs w:val="22"/>
              </w:rPr>
              <w:t>Самостоятельная работа в рамках практических занятий</w:t>
            </w:r>
            <w:r w:rsidR="00AD092D" w:rsidRPr="002467A4">
              <w:rPr>
                <w:i/>
                <w:sz w:val="24"/>
                <w:szCs w:val="22"/>
              </w:rPr>
              <w:t xml:space="preserve"> </w:t>
            </w:r>
          </w:p>
          <w:p w:rsidR="009978D9" w:rsidRPr="002467A4" w:rsidRDefault="00693E11" w:rsidP="00943D54">
            <w:pPr>
              <w:jc w:val="center"/>
              <w:rPr>
                <w:i/>
                <w:sz w:val="24"/>
                <w:szCs w:val="22"/>
                <w:vertAlign w:val="superscript"/>
              </w:rPr>
            </w:pPr>
            <w:r w:rsidRPr="002467A4">
              <w:rPr>
                <w:i/>
                <w:sz w:val="24"/>
                <w:szCs w:val="22"/>
              </w:rPr>
              <w:t>м</w:t>
            </w:r>
            <w:r w:rsidR="009978D9" w:rsidRPr="002467A4">
              <w:rPr>
                <w:i/>
                <w:sz w:val="24"/>
                <w:szCs w:val="22"/>
              </w:rPr>
              <w:t xml:space="preserve">одуля </w:t>
            </w:r>
            <w:r w:rsidRPr="002467A4">
              <w:rPr>
                <w:i/>
                <w:sz w:val="24"/>
                <w:szCs w:val="22"/>
              </w:rPr>
              <w:t>«</w:t>
            </w:r>
            <w:r w:rsidR="00943D54" w:rsidRPr="002467A4">
              <w:rPr>
                <w:i/>
                <w:color w:val="000000"/>
                <w:sz w:val="24"/>
                <w:szCs w:val="22"/>
              </w:rPr>
              <w:t>Теоретические основы общественного здоровья</w:t>
            </w:r>
            <w:r w:rsidRPr="002467A4">
              <w:rPr>
                <w:i/>
                <w:sz w:val="24"/>
                <w:szCs w:val="22"/>
              </w:rPr>
              <w:t>»</w:t>
            </w:r>
          </w:p>
        </w:tc>
      </w:tr>
      <w:tr w:rsidR="00605F7C" w:rsidRPr="002467A4" w:rsidTr="00773B3B">
        <w:tc>
          <w:tcPr>
            <w:tcW w:w="534" w:type="dxa"/>
            <w:shd w:val="clear" w:color="auto" w:fill="auto"/>
          </w:tcPr>
          <w:p w:rsidR="00605F7C" w:rsidRPr="002467A4" w:rsidRDefault="00605F7C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605F7C" w:rsidRPr="002467A4" w:rsidRDefault="00605F7C" w:rsidP="00914468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Тема «</w:t>
            </w:r>
            <w:r w:rsidR="002467A4" w:rsidRPr="002467A4">
              <w:rPr>
                <w:color w:val="000000"/>
                <w:sz w:val="24"/>
                <w:szCs w:val="22"/>
              </w:rPr>
              <w:t>Здравоохранение как система мероприятий по сохранению, укреплению и восстановлению здоровья населения. Роль общественного здравоохранения в формировании и сохранении здоровья населения</w:t>
            </w:r>
            <w:r w:rsidR="00D91C2F" w:rsidRPr="002467A4">
              <w:rPr>
                <w:color w:val="000000"/>
                <w:sz w:val="24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605F7C" w:rsidRPr="002467A4" w:rsidRDefault="000F4023" w:rsidP="00605F7C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 xml:space="preserve">работа над </w:t>
            </w:r>
            <w:r w:rsidR="00D91C2F" w:rsidRPr="002467A4">
              <w:rPr>
                <w:sz w:val="24"/>
                <w:szCs w:val="22"/>
              </w:rPr>
              <w:t xml:space="preserve">конспектом лекции, </w:t>
            </w:r>
            <w:r w:rsidRPr="002467A4">
              <w:rPr>
                <w:sz w:val="24"/>
                <w:szCs w:val="22"/>
              </w:rPr>
              <w:t xml:space="preserve">учебным материалом, </w:t>
            </w:r>
            <w:r w:rsidR="00605F7C" w:rsidRPr="002467A4">
              <w:rPr>
                <w:sz w:val="24"/>
                <w:szCs w:val="22"/>
              </w:rPr>
              <w:t>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605F7C" w:rsidRPr="002467A4" w:rsidRDefault="00D91C2F" w:rsidP="00AD092D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тестирование</w:t>
            </w:r>
          </w:p>
          <w:p w:rsidR="000F4023" w:rsidRPr="002467A4" w:rsidRDefault="00D91C2F" w:rsidP="00D91C2F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устный опрос</w:t>
            </w:r>
          </w:p>
          <w:p w:rsidR="004A1D4D" w:rsidRPr="002467A4" w:rsidRDefault="00943D54" w:rsidP="002467A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 xml:space="preserve">решение </w:t>
            </w:r>
            <w:r w:rsidRPr="002467A4">
              <w:rPr>
                <w:sz w:val="24"/>
                <w:szCs w:val="22"/>
                <w:lang w:val="en-US"/>
              </w:rPr>
              <w:t>case</w:t>
            </w:r>
            <w:r w:rsidRPr="002467A4">
              <w:rPr>
                <w:sz w:val="24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605F7C" w:rsidRPr="002467A4" w:rsidRDefault="00605F7C" w:rsidP="005670B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аудиторная</w:t>
            </w:r>
          </w:p>
        </w:tc>
      </w:tr>
      <w:tr w:rsidR="00943D54" w:rsidRPr="002467A4" w:rsidTr="005C5542">
        <w:tc>
          <w:tcPr>
            <w:tcW w:w="9571" w:type="dxa"/>
            <w:gridSpan w:val="5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i/>
                <w:sz w:val="24"/>
                <w:szCs w:val="22"/>
              </w:rPr>
            </w:pPr>
            <w:r w:rsidRPr="002467A4">
              <w:rPr>
                <w:i/>
                <w:sz w:val="24"/>
                <w:szCs w:val="22"/>
              </w:rPr>
              <w:t xml:space="preserve">Самостоятельная работа в рамках практических занятий </w:t>
            </w:r>
          </w:p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i/>
                <w:sz w:val="24"/>
                <w:szCs w:val="22"/>
              </w:rPr>
              <w:t>модуля «</w:t>
            </w:r>
            <w:r w:rsidRPr="002467A4">
              <w:rPr>
                <w:i/>
                <w:color w:val="000000"/>
                <w:sz w:val="24"/>
                <w:szCs w:val="22"/>
              </w:rPr>
              <w:t>Общественное здоровье и факторы его определяющие</w:t>
            </w:r>
            <w:r w:rsidRPr="002467A4">
              <w:rPr>
                <w:i/>
                <w:sz w:val="24"/>
                <w:szCs w:val="22"/>
              </w:rPr>
              <w:t>»</w:t>
            </w:r>
          </w:p>
        </w:tc>
      </w:tr>
      <w:tr w:rsidR="00943D54" w:rsidRPr="002467A4" w:rsidTr="00773B3B">
        <w:tc>
          <w:tcPr>
            <w:tcW w:w="534" w:type="dxa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943D54" w:rsidRPr="002467A4" w:rsidRDefault="00943D54" w:rsidP="002467A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Тема «</w:t>
            </w:r>
            <w:r w:rsidR="002467A4" w:rsidRPr="002467A4">
              <w:rPr>
                <w:color w:val="000000"/>
                <w:sz w:val="24"/>
                <w:szCs w:val="22"/>
              </w:rPr>
              <w:t>Важнейшие группы факторов, определяющих уровень общественного здоровья (социально-экономические, факторы качества жизни, экология, биологические факторы)</w:t>
            </w:r>
            <w:r w:rsidRPr="002467A4">
              <w:rPr>
                <w:color w:val="000000"/>
                <w:sz w:val="24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943D54" w:rsidRPr="002467A4" w:rsidRDefault="002467A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тестирование</w:t>
            </w:r>
          </w:p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устный опрос</w:t>
            </w:r>
          </w:p>
          <w:p w:rsidR="00943D54" w:rsidRPr="002467A4" w:rsidRDefault="00943D54" w:rsidP="002467A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 xml:space="preserve">решение </w:t>
            </w:r>
            <w:r w:rsidRPr="002467A4">
              <w:rPr>
                <w:sz w:val="24"/>
                <w:szCs w:val="22"/>
                <w:lang w:val="en-US"/>
              </w:rPr>
              <w:t>case</w:t>
            </w:r>
            <w:r w:rsidRPr="002467A4">
              <w:rPr>
                <w:sz w:val="24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аудиторная</w:t>
            </w:r>
          </w:p>
        </w:tc>
      </w:tr>
      <w:tr w:rsidR="00943D54" w:rsidRPr="002467A4" w:rsidTr="00773B3B">
        <w:tc>
          <w:tcPr>
            <w:tcW w:w="534" w:type="dxa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lastRenderedPageBreak/>
              <w:t>2</w:t>
            </w:r>
          </w:p>
        </w:tc>
        <w:tc>
          <w:tcPr>
            <w:tcW w:w="2606" w:type="dxa"/>
            <w:shd w:val="clear" w:color="auto" w:fill="auto"/>
          </w:tcPr>
          <w:p w:rsidR="00943D54" w:rsidRPr="002467A4" w:rsidRDefault="00943D54" w:rsidP="002467A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Тема «</w:t>
            </w:r>
            <w:r w:rsidR="002467A4" w:rsidRPr="002467A4">
              <w:rPr>
                <w:color w:val="000000"/>
                <w:sz w:val="24"/>
                <w:szCs w:val="22"/>
              </w:rPr>
              <w:t>Демография и её медико-социальные аспекты</w:t>
            </w:r>
            <w:r w:rsidRPr="002467A4">
              <w:rPr>
                <w:color w:val="000000"/>
                <w:sz w:val="24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943D54" w:rsidRPr="002467A4" w:rsidRDefault="002467A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тестирование</w:t>
            </w:r>
          </w:p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устный опрос</w:t>
            </w:r>
          </w:p>
          <w:p w:rsidR="00943D54" w:rsidRPr="002467A4" w:rsidRDefault="00943D54" w:rsidP="002467A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 xml:space="preserve">решение </w:t>
            </w:r>
            <w:r w:rsidRPr="002467A4">
              <w:rPr>
                <w:sz w:val="24"/>
                <w:szCs w:val="22"/>
                <w:lang w:val="en-US"/>
              </w:rPr>
              <w:t>case</w:t>
            </w:r>
            <w:r w:rsidRPr="002467A4">
              <w:rPr>
                <w:sz w:val="24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аудиторная</w:t>
            </w:r>
          </w:p>
        </w:tc>
      </w:tr>
      <w:tr w:rsidR="00943D54" w:rsidRPr="002467A4" w:rsidTr="00ED7261">
        <w:tc>
          <w:tcPr>
            <w:tcW w:w="9571" w:type="dxa"/>
            <w:gridSpan w:val="5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i/>
                <w:sz w:val="24"/>
                <w:szCs w:val="22"/>
              </w:rPr>
            </w:pPr>
            <w:r w:rsidRPr="002467A4">
              <w:rPr>
                <w:i/>
                <w:sz w:val="24"/>
                <w:szCs w:val="22"/>
              </w:rPr>
              <w:t xml:space="preserve">Самостоятельная работа в рамках практических занятий </w:t>
            </w:r>
          </w:p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i/>
                <w:sz w:val="24"/>
                <w:szCs w:val="22"/>
              </w:rPr>
              <w:t>модуля «</w:t>
            </w:r>
            <w:r w:rsidR="002467A4" w:rsidRPr="002467A4">
              <w:rPr>
                <w:i/>
                <w:color w:val="000000"/>
                <w:sz w:val="24"/>
                <w:szCs w:val="22"/>
              </w:rPr>
              <w:t>Система охраны здоровья населения. Общественное здравоохранение</w:t>
            </w:r>
            <w:r w:rsidRPr="002467A4">
              <w:rPr>
                <w:i/>
                <w:sz w:val="24"/>
                <w:szCs w:val="22"/>
              </w:rPr>
              <w:t>»</w:t>
            </w:r>
          </w:p>
        </w:tc>
      </w:tr>
      <w:tr w:rsidR="00943D54" w:rsidRPr="002467A4" w:rsidTr="00773B3B">
        <w:tc>
          <w:tcPr>
            <w:tcW w:w="534" w:type="dxa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943D54" w:rsidRPr="002467A4" w:rsidRDefault="00943D54" w:rsidP="002467A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Тема «</w:t>
            </w:r>
            <w:r w:rsidR="002467A4" w:rsidRPr="002467A4">
              <w:rPr>
                <w:sz w:val="24"/>
                <w:szCs w:val="22"/>
              </w:rPr>
              <w:t>Политика здравоохранения. Концепция нового общественного здравоохранения. Реформа здравоохранения в России и зарубежных странах</w:t>
            </w:r>
            <w:r w:rsidRPr="002467A4">
              <w:rPr>
                <w:color w:val="000000"/>
                <w:sz w:val="24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943D54" w:rsidRPr="002467A4" w:rsidRDefault="002467A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тестирование</w:t>
            </w:r>
          </w:p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устный опрос</w:t>
            </w:r>
          </w:p>
          <w:p w:rsidR="00943D54" w:rsidRPr="002467A4" w:rsidRDefault="00943D54" w:rsidP="002467A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 xml:space="preserve">решение </w:t>
            </w:r>
            <w:r w:rsidRPr="002467A4">
              <w:rPr>
                <w:sz w:val="24"/>
                <w:szCs w:val="22"/>
                <w:lang w:val="en-US"/>
              </w:rPr>
              <w:t>case</w:t>
            </w:r>
            <w:r w:rsidRPr="002467A4">
              <w:rPr>
                <w:sz w:val="24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аудиторная</w:t>
            </w:r>
          </w:p>
        </w:tc>
      </w:tr>
      <w:tr w:rsidR="00943D54" w:rsidRPr="002467A4" w:rsidTr="00773B3B">
        <w:tc>
          <w:tcPr>
            <w:tcW w:w="534" w:type="dxa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:rsidR="00943D54" w:rsidRPr="002467A4" w:rsidRDefault="00943D54" w:rsidP="002467A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Тема «</w:t>
            </w:r>
            <w:r w:rsidR="002467A4" w:rsidRPr="002467A4">
              <w:rPr>
                <w:sz w:val="24"/>
                <w:szCs w:val="22"/>
              </w:rPr>
              <w:t>Укрепление здоровья и профилактика нарушений в состоянии здоровья населения</w:t>
            </w:r>
            <w:r w:rsidRPr="002467A4">
              <w:rPr>
                <w:color w:val="000000"/>
                <w:sz w:val="24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943D54" w:rsidRPr="002467A4" w:rsidRDefault="002467A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тестирование</w:t>
            </w:r>
          </w:p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устный опрос</w:t>
            </w:r>
          </w:p>
          <w:p w:rsidR="00943D54" w:rsidRPr="002467A4" w:rsidRDefault="00943D54" w:rsidP="00F4294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 xml:space="preserve">решение </w:t>
            </w:r>
            <w:r w:rsidRPr="002467A4">
              <w:rPr>
                <w:sz w:val="24"/>
                <w:szCs w:val="22"/>
                <w:lang w:val="en-US"/>
              </w:rPr>
              <w:t>case</w:t>
            </w:r>
            <w:r w:rsidRPr="002467A4">
              <w:rPr>
                <w:sz w:val="24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аудиторная</w:t>
            </w:r>
          </w:p>
        </w:tc>
      </w:tr>
      <w:tr w:rsidR="00943D54" w:rsidRPr="002467A4" w:rsidTr="00773B3B">
        <w:tc>
          <w:tcPr>
            <w:tcW w:w="534" w:type="dxa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943D54" w:rsidRPr="002467A4" w:rsidRDefault="00943D54" w:rsidP="002467A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Тема «</w:t>
            </w:r>
            <w:r w:rsidR="002467A4" w:rsidRPr="002467A4">
              <w:rPr>
                <w:sz w:val="24"/>
                <w:szCs w:val="22"/>
              </w:rPr>
              <w:t>Система охраны здоровья матери и ребенка</w:t>
            </w:r>
            <w:r w:rsidRPr="002467A4">
              <w:rPr>
                <w:color w:val="000000"/>
                <w:sz w:val="24"/>
                <w:szCs w:val="22"/>
              </w:rPr>
              <w:t>»</w:t>
            </w:r>
          </w:p>
        </w:tc>
        <w:tc>
          <w:tcPr>
            <w:tcW w:w="2607" w:type="dxa"/>
            <w:shd w:val="clear" w:color="auto" w:fill="auto"/>
          </w:tcPr>
          <w:p w:rsidR="00943D54" w:rsidRPr="002467A4" w:rsidRDefault="002467A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815" w:type="dxa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тестирование</w:t>
            </w:r>
          </w:p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устный опрос</w:t>
            </w:r>
          </w:p>
          <w:p w:rsidR="00943D54" w:rsidRPr="002467A4" w:rsidRDefault="00943D54" w:rsidP="00F4294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 xml:space="preserve">решение </w:t>
            </w:r>
            <w:r w:rsidRPr="002467A4">
              <w:rPr>
                <w:sz w:val="24"/>
                <w:szCs w:val="22"/>
                <w:lang w:val="en-US"/>
              </w:rPr>
              <w:t>case</w:t>
            </w:r>
            <w:r w:rsidRPr="002467A4">
              <w:rPr>
                <w:sz w:val="24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943D54" w:rsidRPr="002467A4" w:rsidRDefault="00943D54" w:rsidP="00943D54">
            <w:pPr>
              <w:jc w:val="center"/>
              <w:rPr>
                <w:sz w:val="24"/>
                <w:szCs w:val="22"/>
              </w:rPr>
            </w:pPr>
            <w:r w:rsidRPr="002467A4">
              <w:rPr>
                <w:sz w:val="24"/>
                <w:szCs w:val="22"/>
              </w:rPr>
              <w:t>аудиторная</w:t>
            </w:r>
          </w:p>
        </w:tc>
      </w:tr>
    </w:tbl>
    <w:p w:rsidR="00943D54" w:rsidRDefault="00943D54" w:rsidP="004A04D8">
      <w:pPr>
        <w:jc w:val="center"/>
        <w:rPr>
          <w:b/>
          <w:sz w:val="28"/>
        </w:rPr>
      </w:pPr>
    </w:p>
    <w:p w:rsidR="00593334" w:rsidRDefault="004A04D8" w:rsidP="004A04D8">
      <w:pPr>
        <w:jc w:val="center"/>
        <w:rPr>
          <w:sz w:val="28"/>
        </w:rPr>
      </w:pPr>
      <w:r>
        <w:rPr>
          <w:b/>
          <w:sz w:val="28"/>
        </w:rPr>
        <w:t>3</w:t>
      </w:r>
      <w:r w:rsidR="00593334">
        <w:rPr>
          <w:b/>
          <w:sz w:val="28"/>
        </w:rPr>
        <w:t xml:space="preserve">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:rsidR="004A04D8" w:rsidRDefault="004A04D8" w:rsidP="00905D91">
      <w:pPr>
        <w:ind w:firstLine="709"/>
        <w:jc w:val="center"/>
        <w:rPr>
          <w:b/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- сделать выписки;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813EE1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813EE1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 – конспектируемый текст,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 – собственные заметки, вопросы, условные знаки,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III – последующие дополнения, сведения из других источников.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 xml:space="preserve">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конспект включайте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D91C2F" w:rsidRPr="00755609" w:rsidRDefault="00D91C2F" w:rsidP="00D91C2F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:rsidR="00D91C2F" w:rsidRDefault="00D91C2F" w:rsidP="00D91C2F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 xml:space="preserve">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D91C2F" w:rsidRPr="00755609" w:rsidRDefault="00D91C2F" w:rsidP="007D639F">
      <w:pPr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D91C2F" w:rsidRPr="00D91C2F" w:rsidRDefault="00D91C2F" w:rsidP="00D91C2F">
      <w:pPr>
        <w:pStyle w:val="aa"/>
        <w:numPr>
          <w:ilvl w:val="0"/>
          <w:numId w:val="39"/>
        </w:numPr>
        <w:ind w:left="0" w:firstLine="0"/>
        <w:jc w:val="both"/>
        <w:rPr>
          <w:sz w:val="28"/>
        </w:rPr>
      </w:pPr>
      <w:r w:rsidRPr="00D91C2F">
        <w:rPr>
          <w:sz w:val="28"/>
        </w:rPr>
        <w:t xml:space="preserve">изучение конспектов лекций, раскрывающих материал, знание которого проверяется контрольной работой; </w:t>
      </w:r>
    </w:p>
    <w:p w:rsidR="00D91C2F" w:rsidRPr="00D91C2F" w:rsidRDefault="00D91C2F" w:rsidP="00D91C2F">
      <w:pPr>
        <w:pStyle w:val="aa"/>
        <w:numPr>
          <w:ilvl w:val="0"/>
          <w:numId w:val="39"/>
        </w:numPr>
        <w:ind w:left="0" w:firstLine="0"/>
        <w:jc w:val="both"/>
        <w:rPr>
          <w:sz w:val="28"/>
        </w:rPr>
      </w:pPr>
      <w:r w:rsidRPr="00D91C2F">
        <w:rPr>
          <w:sz w:val="28"/>
        </w:rPr>
        <w:t>повторение учебного материала, полученного при подготовке к семинарским, практическим занятиям и во время их проведения;</w:t>
      </w:r>
    </w:p>
    <w:p w:rsidR="00D91C2F" w:rsidRPr="00D91C2F" w:rsidRDefault="00D91C2F" w:rsidP="00D91C2F">
      <w:pPr>
        <w:pStyle w:val="aa"/>
        <w:numPr>
          <w:ilvl w:val="0"/>
          <w:numId w:val="39"/>
        </w:numPr>
        <w:ind w:left="0" w:firstLine="0"/>
        <w:jc w:val="both"/>
        <w:rPr>
          <w:sz w:val="28"/>
        </w:rPr>
      </w:pPr>
      <w:r w:rsidRPr="00D91C2F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:rsidR="00D91C2F" w:rsidRPr="00D91C2F" w:rsidRDefault="00D91C2F" w:rsidP="00D91C2F">
      <w:pPr>
        <w:pStyle w:val="aa"/>
        <w:numPr>
          <w:ilvl w:val="0"/>
          <w:numId w:val="39"/>
        </w:numPr>
        <w:ind w:left="0" w:firstLine="0"/>
        <w:jc w:val="both"/>
        <w:rPr>
          <w:sz w:val="28"/>
        </w:rPr>
      </w:pPr>
      <w:r w:rsidRPr="00D91C2F">
        <w:rPr>
          <w:sz w:val="28"/>
        </w:rPr>
        <w:t xml:space="preserve">составление в мысленной форме ответов на поставленные в контрольной работе вопросы; </w:t>
      </w:r>
    </w:p>
    <w:p w:rsidR="00D91C2F" w:rsidRPr="00D91C2F" w:rsidRDefault="00D91C2F" w:rsidP="00D91C2F">
      <w:pPr>
        <w:pStyle w:val="aa"/>
        <w:numPr>
          <w:ilvl w:val="0"/>
          <w:numId w:val="39"/>
        </w:numPr>
        <w:ind w:left="0" w:firstLine="0"/>
        <w:jc w:val="both"/>
        <w:rPr>
          <w:sz w:val="28"/>
        </w:rPr>
      </w:pPr>
      <w:r w:rsidRPr="00D91C2F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:rsidR="00D91C2F" w:rsidRDefault="00D91C2F" w:rsidP="00905D91">
      <w:pPr>
        <w:ind w:firstLine="709"/>
        <w:jc w:val="both"/>
        <w:rPr>
          <w:sz w:val="28"/>
        </w:rPr>
      </w:pPr>
    </w:p>
    <w:p w:rsidR="00905D91" w:rsidRPr="00755609" w:rsidRDefault="00905D91" w:rsidP="00905D9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905D91" w:rsidRPr="00755609" w:rsidRDefault="00905D91" w:rsidP="00905D9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</w:t>
      </w:r>
      <w:r w:rsidR="000F4023">
        <w:rPr>
          <w:sz w:val="28"/>
        </w:rPr>
        <w:t>ной ситуации.</w:t>
      </w:r>
    </w:p>
    <w:p w:rsidR="00905D91" w:rsidRPr="00755609" w:rsidRDefault="00905D91" w:rsidP="000F4023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905D91" w:rsidRPr="00755609" w:rsidRDefault="00DD7DF5" w:rsidP="00905D91">
      <w:pPr>
        <w:ind w:firstLine="709"/>
        <w:jc w:val="both"/>
        <w:rPr>
          <w:sz w:val="28"/>
        </w:rPr>
      </w:pPr>
      <w:r>
        <w:rPr>
          <w:sz w:val="28"/>
        </w:rPr>
        <w:t>1) четко сформулировать тему;</w:t>
      </w:r>
    </w:p>
    <w:p w:rsidR="00905D91" w:rsidRPr="00755609" w:rsidRDefault="00905D91" w:rsidP="00905D91">
      <w:pPr>
        <w:ind w:firstLine="709"/>
        <w:jc w:val="both"/>
        <w:rPr>
          <w:sz w:val="28"/>
        </w:rPr>
      </w:pPr>
      <w:r w:rsidRPr="00755609">
        <w:rPr>
          <w:sz w:val="28"/>
        </w:rPr>
        <w:lastRenderedPageBreak/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905D91" w:rsidRPr="00DD7DF5" w:rsidRDefault="00905D91" w:rsidP="00DD7DF5">
      <w:pPr>
        <w:pStyle w:val="aa"/>
        <w:numPr>
          <w:ilvl w:val="0"/>
          <w:numId w:val="29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первичные (статьи, д</w:t>
      </w:r>
      <w:r w:rsidR="00DD7DF5">
        <w:rPr>
          <w:sz w:val="28"/>
        </w:rPr>
        <w:t>иссертации, монографии и т д.);</w:t>
      </w:r>
    </w:p>
    <w:p w:rsidR="00905D91" w:rsidRPr="00DD7DF5" w:rsidRDefault="00905D91" w:rsidP="00DD7DF5">
      <w:pPr>
        <w:pStyle w:val="aa"/>
        <w:numPr>
          <w:ilvl w:val="0"/>
          <w:numId w:val="29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905D91" w:rsidRPr="00DD7DF5" w:rsidRDefault="00905D91" w:rsidP="00DD7DF5">
      <w:pPr>
        <w:pStyle w:val="aa"/>
        <w:numPr>
          <w:ilvl w:val="0"/>
          <w:numId w:val="29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третичные (обзоры, компилятивные работы, справочные книги и т.д.);</w:t>
      </w:r>
    </w:p>
    <w:p w:rsidR="00905D91" w:rsidRPr="00755609" w:rsidRDefault="00905D91" w:rsidP="00905D9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905D91" w:rsidRPr="00755609" w:rsidRDefault="00905D91" w:rsidP="00905D9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905D91" w:rsidRPr="00DD7DF5" w:rsidRDefault="00905D91" w:rsidP="00DD7DF5">
      <w:pPr>
        <w:pStyle w:val="aa"/>
        <w:numPr>
          <w:ilvl w:val="0"/>
          <w:numId w:val="30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</w:t>
      </w:r>
      <w:r w:rsidR="00DD7DF5">
        <w:rPr>
          <w:sz w:val="28"/>
        </w:rPr>
        <w:t>исок использованной литературы;</w:t>
      </w:r>
    </w:p>
    <w:p w:rsidR="00905D91" w:rsidRPr="00DD7DF5" w:rsidRDefault="00905D91" w:rsidP="00DD7DF5">
      <w:pPr>
        <w:pStyle w:val="aa"/>
        <w:numPr>
          <w:ilvl w:val="0"/>
          <w:numId w:val="30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755609">
        <w:rPr>
          <w:sz w:val="28"/>
        </w:rPr>
        <w:t>5) оформить работу</w:t>
      </w:r>
      <w:r w:rsidR="00DD7DF5">
        <w:rPr>
          <w:sz w:val="28"/>
        </w:rPr>
        <w:t xml:space="preserve"> в соответствии с требованиями.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905D91">
      <w:pPr>
        <w:ind w:firstLine="709"/>
        <w:jc w:val="both"/>
        <w:rPr>
          <w:sz w:val="28"/>
        </w:rPr>
      </w:pPr>
    </w:p>
    <w:p w:rsidR="00905D91" w:rsidRPr="00BD5AFD" w:rsidRDefault="00905D91" w:rsidP="00DA41EF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905D91" w:rsidRPr="00BD5AFD" w:rsidRDefault="00905D91" w:rsidP="00905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905D91" w:rsidRPr="00BD5AFD" w:rsidRDefault="00905D91" w:rsidP="00DA41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создание презентации в Power Point;</w:t>
      </w:r>
    </w:p>
    <w:p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905D91" w:rsidRPr="00C35B2E" w:rsidRDefault="00905D91" w:rsidP="00DA41EF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 w:rsidR="00DA41EF">
        <w:rPr>
          <w:bCs/>
          <w:color w:val="000000"/>
          <w:sz w:val="28"/>
          <w:szCs w:val="28"/>
        </w:rPr>
        <w:t>.</w:t>
      </w:r>
    </w:p>
    <w:p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DA41EF">
        <w:rPr>
          <w:sz w:val="28"/>
          <w:szCs w:val="28"/>
        </w:rPr>
        <w:t>, дают информацию для контактов.</w:t>
      </w:r>
    </w:p>
    <w:p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905D91" w:rsidRPr="00BD5AFD" w:rsidRDefault="00905D91" w:rsidP="00905D91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 w:rsidR="00DA41EF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905D91" w:rsidRPr="00BD5AFD" w:rsidRDefault="00905D91" w:rsidP="00905D91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732" w:rsidRDefault="00D17732" w:rsidP="00FD5B6B">
      <w:r>
        <w:separator/>
      </w:r>
    </w:p>
  </w:endnote>
  <w:endnote w:type="continuationSeparator" w:id="0">
    <w:p w:rsidR="00D17732" w:rsidRDefault="00D17732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91" w:rsidRDefault="00813EE1" w:rsidP="00905D91">
    <w:pPr>
      <w:pStyle w:val="ad"/>
      <w:jc w:val="right"/>
    </w:pPr>
    <w:r>
      <w:fldChar w:fldCharType="begin"/>
    </w:r>
    <w:r w:rsidR="004C04C0">
      <w:instrText>PAGE   \* MERGEFORMAT</w:instrText>
    </w:r>
    <w:r>
      <w:fldChar w:fldCharType="separate"/>
    </w:r>
    <w:r w:rsidR="009A1AB9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732" w:rsidRDefault="00D17732" w:rsidP="00FD5B6B">
      <w:r>
        <w:separator/>
      </w:r>
    </w:p>
  </w:footnote>
  <w:footnote w:type="continuationSeparator" w:id="0">
    <w:p w:rsidR="00D17732" w:rsidRDefault="00D17732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390E1C66"/>
    <w:lvl w:ilvl="0" w:tplc="ACB2C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34"/>
  </w:num>
  <w:num w:numId="4">
    <w:abstractNumId w:val="5"/>
  </w:num>
  <w:num w:numId="5">
    <w:abstractNumId w:val="18"/>
  </w:num>
  <w:num w:numId="6">
    <w:abstractNumId w:val="14"/>
  </w:num>
  <w:num w:numId="7">
    <w:abstractNumId w:val="11"/>
  </w:num>
  <w:num w:numId="8">
    <w:abstractNumId w:val="3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35"/>
  </w:num>
  <w:num w:numId="15">
    <w:abstractNumId w:val="31"/>
  </w:num>
  <w:num w:numId="16">
    <w:abstractNumId w:val="1"/>
  </w:num>
  <w:num w:numId="17">
    <w:abstractNumId w:val="23"/>
  </w:num>
  <w:num w:numId="18">
    <w:abstractNumId w:val="27"/>
  </w:num>
  <w:num w:numId="19">
    <w:abstractNumId w:val="32"/>
  </w:num>
  <w:num w:numId="20">
    <w:abstractNumId w:val="19"/>
  </w:num>
  <w:num w:numId="21">
    <w:abstractNumId w:val="21"/>
  </w:num>
  <w:num w:numId="22">
    <w:abstractNumId w:val="25"/>
  </w:num>
  <w:num w:numId="23">
    <w:abstractNumId w:val="29"/>
  </w:num>
  <w:num w:numId="24">
    <w:abstractNumId w:val="20"/>
  </w:num>
  <w:num w:numId="25">
    <w:abstractNumId w:val="13"/>
  </w:num>
  <w:num w:numId="26">
    <w:abstractNumId w:val="0"/>
  </w:num>
  <w:num w:numId="27">
    <w:abstractNumId w:val="6"/>
  </w:num>
  <w:num w:numId="28">
    <w:abstractNumId w:val="4"/>
  </w:num>
  <w:num w:numId="29">
    <w:abstractNumId w:val="24"/>
  </w:num>
  <w:num w:numId="30">
    <w:abstractNumId w:val="17"/>
  </w:num>
  <w:num w:numId="31">
    <w:abstractNumId w:val="8"/>
  </w:num>
  <w:num w:numId="32">
    <w:abstractNumId w:val="10"/>
  </w:num>
  <w:num w:numId="33">
    <w:abstractNumId w:val="22"/>
  </w:num>
  <w:num w:numId="34">
    <w:abstractNumId w:val="15"/>
  </w:num>
  <w:num w:numId="35">
    <w:abstractNumId w:val="26"/>
  </w:num>
  <w:num w:numId="36">
    <w:abstractNumId w:val="3"/>
  </w:num>
  <w:num w:numId="37">
    <w:abstractNumId w:val="28"/>
  </w:num>
  <w:num w:numId="38">
    <w:abstractNumId w:val="33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278DC"/>
    <w:rsid w:val="00033367"/>
    <w:rsid w:val="0003403A"/>
    <w:rsid w:val="000416A6"/>
    <w:rsid w:val="00041727"/>
    <w:rsid w:val="00075EF3"/>
    <w:rsid w:val="00083C34"/>
    <w:rsid w:val="0009030C"/>
    <w:rsid w:val="000931E3"/>
    <w:rsid w:val="000B75E3"/>
    <w:rsid w:val="000F4023"/>
    <w:rsid w:val="001D3FDC"/>
    <w:rsid w:val="001F02EA"/>
    <w:rsid w:val="001F5EE1"/>
    <w:rsid w:val="002467A4"/>
    <w:rsid w:val="0026698D"/>
    <w:rsid w:val="002808CD"/>
    <w:rsid w:val="002D2784"/>
    <w:rsid w:val="00384C49"/>
    <w:rsid w:val="003B5F75"/>
    <w:rsid w:val="003C37BE"/>
    <w:rsid w:val="003F7C69"/>
    <w:rsid w:val="00406AE2"/>
    <w:rsid w:val="00461E8C"/>
    <w:rsid w:val="00476000"/>
    <w:rsid w:val="004A04D8"/>
    <w:rsid w:val="004A1D4D"/>
    <w:rsid w:val="004B2C94"/>
    <w:rsid w:val="004C04C0"/>
    <w:rsid w:val="004C1386"/>
    <w:rsid w:val="004D1091"/>
    <w:rsid w:val="004E684D"/>
    <w:rsid w:val="005670B4"/>
    <w:rsid w:val="005677BE"/>
    <w:rsid w:val="00582BA5"/>
    <w:rsid w:val="00593334"/>
    <w:rsid w:val="005B1DE2"/>
    <w:rsid w:val="005C4342"/>
    <w:rsid w:val="00600B21"/>
    <w:rsid w:val="00605F7C"/>
    <w:rsid w:val="006847B8"/>
    <w:rsid w:val="00691179"/>
    <w:rsid w:val="00693E11"/>
    <w:rsid w:val="006D414D"/>
    <w:rsid w:val="006F14A4"/>
    <w:rsid w:val="006F7AD8"/>
    <w:rsid w:val="00742208"/>
    <w:rsid w:val="007554D8"/>
    <w:rsid w:val="00755609"/>
    <w:rsid w:val="00773B3B"/>
    <w:rsid w:val="0079237F"/>
    <w:rsid w:val="007D639F"/>
    <w:rsid w:val="00801D49"/>
    <w:rsid w:val="008113A5"/>
    <w:rsid w:val="00813EE1"/>
    <w:rsid w:val="00832D24"/>
    <w:rsid w:val="00845C7D"/>
    <w:rsid w:val="00905D91"/>
    <w:rsid w:val="00914468"/>
    <w:rsid w:val="00943D54"/>
    <w:rsid w:val="009511F7"/>
    <w:rsid w:val="00961763"/>
    <w:rsid w:val="00985E1D"/>
    <w:rsid w:val="009978D9"/>
    <w:rsid w:val="009A1AB9"/>
    <w:rsid w:val="009C2F35"/>
    <w:rsid w:val="009C4A0D"/>
    <w:rsid w:val="009F49C5"/>
    <w:rsid w:val="009F712E"/>
    <w:rsid w:val="00AB5B37"/>
    <w:rsid w:val="00AD092D"/>
    <w:rsid w:val="00AD3EBB"/>
    <w:rsid w:val="00AF327C"/>
    <w:rsid w:val="00B350F3"/>
    <w:rsid w:val="00B916C2"/>
    <w:rsid w:val="00B93434"/>
    <w:rsid w:val="00BB63D7"/>
    <w:rsid w:val="00BF1CD1"/>
    <w:rsid w:val="00C32D63"/>
    <w:rsid w:val="00C35B2E"/>
    <w:rsid w:val="00C83AB7"/>
    <w:rsid w:val="00C96D6D"/>
    <w:rsid w:val="00CD37A5"/>
    <w:rsid w:val="00D06B87"/>
    <w:rsid w:val="00D06F77"/>
    <w:rsid w:val="00D17732"/>
    <w:rsid w:val="00D33524"/>
    <w:rsid w:val="00D35869"/>
    <w:rsid w:val="00D46A21"/>
    <w:rsid w:val="00D471E6"/>
    <w:rsid w:val="00D91C2F"/>
    <w:rsid w:val="00D9581D"/>
    <w:rsid w:val="00DA41EF"/>
    <w:rsid w:val="00DD7DF5"/>
    <w:rsid w:val="00E57C66"/>
    <w:rsid w:val="00EC45CD"/>
    <w:rsid w:val="00EE10AD"/>
    <w:rsid w:val="00F0689E"/>
    <w:rsid w:val="00F42944"/>
    <w:rsid w:val="00F44E53"/>
    <w:rsid w:val="00F5136B"/>
    <w:rsid w:val="00F55788"/>
    <w:rsid w:val="00F8248C"/>
    <w:rsid w:val="00F8739C"/>
    <w:rsid w:val="00F922E9"/>
    <w:rsid w:val="00FA55EC"/>
    <w:rsid w:val="00FD34ED"/>
    <w:rsid w:val="00FD5B6B"/>
    <w:rsid w:val="00FE273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60885-E548-47FB-BC3F-6A3CDBA9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Екатерина</cp:lastModifiedBy>
  <cp:revision>37</cp:revision>
  <cp:lastPrinted>2019-03-11T04:50:00Z</cp:lastPrinted>
  <dcterms:created xsi:type="dcterms:W3CDTF">2019-02-04T05:01:00Z</dcterms:created>
  <dcterms:modified xsi:type="dcterms:W3CDTF">2022-01-16T11:25:00Z</dcterms:modified>
</cp:coreProperties>
</file>